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48"/>
        </w:rPr>
        <w:t>PMP-IT Consulting</w:t>
      </w:r>
    </w:p>
    <w:p>
      <w:pPr>
        <w:jc w:val="center"/>
      </w:pPr>
      <w:r>
        <w:rPr>
          <w:rFonts w:ascii="Arial" w:hAnsi="Arial"/>
          <w:color w:val="5A5A5A"/>
          <w:sz w:val="24"/>
        </w:rPr>
        <w:t>Engagement Models | Representative Projects | Client Benefits | Contact Information</w:t>
      </w:r>
    </w:p>
    <w:p/>
    <w:p>
      <w:pPr>
        <w:jc w:val="center"/>
      </w:pPr>
      <w:r>
        <w:rPr>
          <w:rFonts w:ascii="Arial" w:hAnsi="Arial"/>
          <w:b/>
          <w:sz w:val="26"/>
        </w:rPr>
        <w:t>Moufid (Mike) Jarada, PhD(c)</w:t>
        <w:br/>
        <w:t>Senior IT Project Executive | Project Director</w:t>
      </w:r>
    </w:p>
    <w:p>
      <w:pPr>
        <w:jc w:val="center"/>
      </w:pPr>
      <w:r>
        <w:rPr>
          <w:rFonts w:ascii="Arial" w:hAnsi="Arial"/>
          <w:sz w:val="20"/>
        </w:rPr>
        <w:t>PMP | PMI-ACP | TOGAF | CISSP | CCSP | CSM | ITIL | I.S.P. | ITCP/IP3P</w:t>
        <w:br/>
        <w:t>Secret Level II Clearance | English • French • Arabic</w:t>
      </w:r>
    </w:p>
    <w:p/>
    <w:tbl>
      <w:tblPr>
        <w:tblW w:type="auto" w:w="0"/>
        <w:jc w:val="center"/>
        <w:tblLook w:firstColumn="1" w:firstRow="1" w:lastColumn="0" w:lastRow="0" w:noHBand="0" w:noVBand="1" w:val="04A0"/>
      </w:tblPr>
      <w:tblGrid>
        <w:gridCol w:w="10512"/>
      </w:tblGrid>
      <w:tr>
        <w:tc>
          <w:tcPr>
            <w:tcW w:type="dxa" w:w="10512"/>
            <w:shd w:fill="EAF2F8"/>
          </w:tcPr>
          <w:p>
            <w:r>
              <w:rPr>
                <w:b/>
                <w:color w:val="1F4E79"/>
                <w:sz w:val="22"/>
              </w:rPr>
              <w:t>Purpose of this Section</w:t>
              <w:br/>
            </w:r>
            <w:r>
              <w:rPr>
                <w:sz w:val="18"/>
              </w:rPr>
              <w:t>This document forms part of the PMP-IT Executive Capability Statement. It defines consulting engagement models, summarizes representative project experience, presents client benefits, and provides contact information for executive, proposal, and business development use.</w:t>
            </w:r>
          </w:p>
        </w:tc>
      </w:tr>
    </w:tbl>
    <w:p/>
    <w:p>
      <w:pPr>
        <w:pStyle w:val="Heading1"/>
      </w:pPr>
      <w:r>
        <w:rPr>
          <w:rFonts w:ascii="Arial" w:hAnsi="Arial"/>
        </w:rPr>
        <w:t>Table of Contents</w:t>
      </w:r>
    </w:p>
    <w:p>
      <w:pPr>
        <w:pStyle w:val="ListBullet"/>
      </w:pPr>
      <w:r>
        <w:rPr>
          <w:rFonts w:ascii="Arial" w:hAnsi="Arial"/>
        </w:rPr>
        <w:t>1. Engagement Models</w:t>
      </w:r>
    </w:p>
    <w:p>
      <w:pPr>
        <w:pStyle w:val="ListBullet"/>
      </w:pPr>
      <w:r>
        <w:rPr>
          <w:rFonts w:ascii="Arial" w:hAnsi="Arial"/>
        </w:rPr>
        <w:t>2. Representative Projects</w:t>
      </w:r>
    </w:p>
    <w:p>
      <w:pPr>
        <w:pStyle w:val="ListBullet"/>
      </w:pPr>
      <w:r>
        <w:rPr>
          <w:rFonts w:ascii="Arial" w:hAnsi="Arial"/>
        </w:rPr>
        <w:t>3. Client Benefits</w:t>
      </w:r>
    </w:p>
    <w:p>
      <w:pPr>
        <w:pStyle w:val="ListBullet"/>
      </w:pPr>
      <w:r>
        <w:rPr>
          <w:rFonts w:ascii="Arial" w:hAnsi="Arial"/>
        </w:rPr>
        <w:t>4. Contact Information</w:t>
      </w:r>
    </w:p>
    <w:p>
      <w:r>
        <w:rPr>
          <w:rFonts w:ascii="Arial" w:hAnsi="Arial"/>
        </w:rPr>
        <w:br w:type="page"/>
      </w:r>
    </w:p>
    <w:p>
      <w:pPr>
        <w:pStyle w:val="Heading1"/>
      </w:pPr>
      <w:r>
        <w:rPr>
          <w:rFonts w:ascii="Arial" w:hAnsi="Arial"/>
        </w:rPr>
        <w:t>1. Engagement Models</w:t>
      </w:r>
    </w:p>
    <w:p>
      <w:r>
        <w:rPr>
          <w:rFonts w:ascii="Arial" w:hAnsi="Arial"/>
        </w:rPr>
        <w:t>PMP-IT Consulting offers flexible engagement models designed to support organizations at different stages of transformation, delivery, governance maturity, and operational readiness. Engagements can be remote-first, hybrid, advisory-based, or embedded within client delivery teams.</w:t>
      </w:r>
    </w:p>
    <w:tbl>
      <w:tblPr>
        <w:tblStyle w:val="TableGrid"/>
        <w:tblW w:type="auto" w:w="0"/>
        <w:jc w:val="center"/>
        <w:tblLook w:firstColumn="1" w:firstRow="1" w:lastColumn="0" w:lastRow="0" w:noHBand="0" w:noVBand="1" w:val="04A0"/>
      </w:tblPr>
      <w:tblGrid>
        <w:gridCol w:w="2628"/>
        <w:gridCol w:w="2628"/>
        <w:gridCol w:w="2628"/>
        <w:gridCol w:w="2628"/>
      </w:tblGrid>
      <w:tr>
        <w:tc>
          <w:tcPr>
            <w:tcW w:type="dxa" w:w="2628"/>
            <w:vAlign w:val="center"/>
            <w:shd w:fill="1F4E79"/>
          </w:tcPr>
          <w:p>
            <w:r/>
            <w:r>
              <w:rPr>
                <w:b/>
                <w:color w:val="FFFFFF"/>
                <w:sz w:val="18"/>
              </w:rPr>
              <w:t>Engagement Model</w:t>
            </w:r>
          </w:p>
        </w:tc>
        <w:tc>
          <w:tcPr>
            <w:tcW w:type="dxa" w:w="2628"/>
            <w:vAlign w:val="center"/>
            <w:shd w:fill="1F4E79"/>
          </w:tcPr>
          <w:p>
            <w:r/>
            <w:r>
              <w:rPr>
                <w:b/>
                <w:color w:val="FFFFFF"/>
                <w:sz w:val="18"/>
              </w:rPr>
              <w:t>Best Fit</w:t>
            </w:r>
          </w:p>
        </w:tc>
        <w:tc>
          <w:tcPr>
            <w:tcW w:type="dxa" w:w="2628"/>
            <w:vAlign w:val="center"/>
            <w:shd w:fill="1F4E79"/>
          </w:tcPr>
          <w:p>
            <w:r/>
            <w:r>
              <w:rPr>
                <w:b/>
                <w:color w:val="FFFFFF"/>
                <w:sz w:val="18"/>
              </w:rPr>
              <w:t>Typical Duration</w:t>
            </w:r>
          </w:p>
        </w:tc>
        <w:tc>
          <w:tcPr>
            <w:tcW w:type="dxa" w:w="2628"/>
            <w:vAlign w:val="center"/>
            <w:shd w:fill="1F4E79"/>
          </w:tcPr>
          <w:p>
            <w:r/>
            <w:r>
              <w:rPr>
                <w:b/>
                <w:color w:val="FFFFFF"/>
                <w:sz w:val="18"/>
              </w:rPr>
              <w:t>Key Deliverables</w:t>
            </w:r>
          </w:p>
        </w:tc>
      </w:tr>
      <w:tr>
        <w:tc>
          <w:tcPr>
            <w:tcW w:type="dxa" w:w="2628"/>
            <w:vAlign w:val="center"/>
          </w:tcPr>
          <w:p>
            <w:r/>
            <w:r>
              <w:rPr>
                <w:b w:val="0"/>
                <w:sz w:val="18"/>
              </w:rPr>
              <w:t>Executive Advisory Engagement</w:t>
            </w:r>
          </w:p>
        </w:tc>
        <w:tc>
          <w:tcPr>
            <w:tcW w:type="dxa" w:w="2628"/>
            <w:vAlign w:val="center"/>
          </w:tcPr>
          <w:p>
            <w:r/>
            <w:r>
              <w:rPr>
                <w:b w:val="0"/>
                <w:sz w:val="18"/>
              </w:rPr>
              <w:t>Strategic guidance for executives, sponsors, CIOs, DGs, directors, and steering committees.</w:t>
            </w:r>
          </w:p>
        </w:tc>
        <w:tc>
          <w:tcPr>
            <w:tcW w:type="dxa" w:w="2628"/>
            <w:vAlign w:val="center"/>
          </w:tcPr>
          <w:p>
            <w:r/>
            <w:r>
              <w:rPr>
                <w:b w:val="0"/>
                <w:sz w:val="18"/>
              </w:rPr>
              <w:t>2-12 weeks or ongoing advisory retainer</w:t>
            </w:r>
          </w:p>
        </w:tc>
        <w:tc>
          <w:tcPr>
            <w:tcW w:type="dxa" w:w="2628"/>
            <w:vAlign w:val="center"/>
          </w:tcPr>
          <w:p>
            <w:r/>
            <w:r>
              <w:rPr>
                <w:b w:val="0"/>
                <w:sz w:val="18"/>
              </w:rPr>
              <w:t>Strategy, governance, risk reviews, executive dashboards, roadmap recommendations</w:t>
            </w:r>
          </w:p>
        </w:tc>
      </w:tr>
      <w:tr>
        <w:tc>
          <w:tcPr>
            <w:tcW w:type="dxa" w:w="2628"/>
            <w:vAlign w:val="center"/>
          </w:tcPr>
          <w:p>
            <w:r/>
            <w:r>
              <w:rPr>
                <w:b w:val="0"/>
                <w:sz w:val="18"/>
              </w:rPr>
              <w:t>Fractional Project Director / Program Director</w:t>
            </w:r>
          </w:p>
        </w:tc>
        <w:tc>
          <w:tcPr>
            <w:tcW w:type="dxa" w:w="2628"/>
            <w:vAlign w:val="center"/>
          </w:tcPr>
          <w:p>
            <w:r/>
            <w:r>
              <w:rPr>
                <w:b w:val="0"/>
                <w:sz w:val="18"/>
              </w:rPr>
              <w:t>Part-time or full-time executive delivery leadership for major initiatives.</w:t>
            </w:r>
          </w:p>
        </w:tc>
        <w:tc>
          <w:tcPr>
            <w:tcW w:type="dxa" w:w="2628"/>
            <w:vAlign w:val="center"/>
          </w:tcPr>
          <w:p>
            <w:r/>
            <w:r>
              <w:rPr>
                <w:b w:val="0"/>
                <w:sz w:val="18"/>
              </w:rPr>
              <w:t>3-24 months</w:t>
            </w:r>
          </w:p>
        </w:tc>
        <w:tc>
          <w:tcPr>
            <w:tcW w:type="dxa" w:w="2628"/>
            <w:vAlign w:val="center"/>
          </w:tcPr>
          <w:p>
            <w:r/>
            <w:r>
              <w:rPr>
                <w:b w:val="0"/>
                <w:sz w:val="18"/>
              </w:rPr>
              <w:t>Program governance, delivery oversight, executive reporting, issue escalation</w:t>
            </w:r>
          </w:p>
        </w:tc>
      </w:tr>
      <w:tr>
        <w:tc>
          <w:tcPr>
            <w:tcW w:type="dxa" w:w="2628"/>
            <w:vAlign w:val="center"/>
          </w:tcPr>
          <w:p>
            <w:r/>
            <w:r>
              <w:rPr>
                <w:b w:val="0"/>
                <w:sz w:val="18"/>
              </w:rPr>
              <w:t>Senior Project Manager Engagement</w:t>
            </w:r>
          </w:p>
        </w:tc>
        <w:tc>
          <w:tcPr>
            <w:tcW w:type="dxa" w:w="2628"/>
            <w:vAlign w:val="center"/>
          </w:tcPr>
          <w:p>
            <w:r/>
            <w:r>
              <w:rPr>
                <w:b w:val="0"/>
                <w:sz w:val="18"/>
              </w:rPr>
              <w:t>Hands-on management of complex IT projects using PMBOK, Agile, Waterfall, or Hybrid delivery.</w:t>
            </w:r>
          </w:p>
        </w:tc>
        <w:tc>
          <w:tcPr>
            <w:tcW w:type="dxa" w:w="2628"/>
            <w:vAlign w:val="center"/>
          </w:tcPr>
          <w:p>
            <w:r/>
            <w:r>
              <w:rPr>
                <w:b w:val="0"/>
                <w:sz w:val="18"/>
              </w:rPr>
              <w:t>6-24 months</w:t>
            </w:r>
          </w:p>
        </w:tc>
        <w:tc>
          <w:tcPr>
            <w:tcW w:type="dxa" w:w="2628"/>
            <w:vAlign w:val="center"/>
          </w:tcPr>
          <w:p>
            <w:r/>
            <w:r>
              <w:rPr>
                <w:b w:val="0"/>
                <w:sz w:val="18"/>
              </w:rPr>
              <w:t>Project plan, schedule, RAID log, status reports, stakeholder management</w:t>
            </w:r>
          </w:p>
        </w:tc>
      </w:tr>
      <w:tr>
        <w:tc>
          <w:tcPr>
            <w:tcW w:type="dxa" w:w="2628"/>
            <w:vAlign w:val="center"/>
          </w:tcPr>
          <w:p>
            <w:r/>
            <w:r>
              <w:rPr>
                <w:b w:val="0"/>
                <w:sz w:val="18"/>
              </w:rPr>
              <w:t>PMO Lead / PMO Advisor</w:t>
            </w:r>
          </w:p>
        </w:tc>
        <w:tc>
          <w:tcPr>
            <w:tcW w:type="dxa" w:w="2628"/>
            <w:vAlign w:val="center"/>
          </w:tcPr>
          <w:p>
            <w:r/>
            <w:r>
              <w:rPr>
                <w:b w:val="0"/>
                <w:sz w:val="18"/>
              </w:rPr>
              <w:t>Design, improve, or operate a Project Management Office.</w:t>
            </w:r>
          </w:p>
        </w:tc>
        <w:tc>
          <w:tcPr>
            <w:tcW w:type="dxa" w:w="2628"/>
            <w:vAlign w:val="center"/>
          </w:tcPr>
          <w:p>
            <w:r/>
            <w:r>
              <w:rPr>
                <w:b w:val="0"/>
                <w:sz w:val="18"/>
              </w:rPr>
              <w:t>3-18 months</w:t>
            </w:r>
          </w:p>
        </w:tc>
        <w:tc>
          <w:tcPr>
            <w:tcW w:type="dxa" w:w="2628"/>
            <w:vAlign w:val="center"/>
          </w:tcPr>
          <w:p>
            <w:r/>
            <w:r>
              <w:rPr>
                <w:b w:val="0"/>
                <w:sz w:val="18"/>
              </w:rPr>
              <w:t>Governance framework, templates, KPIs, dashboard, stage gates</w:t>
            </w:r>
          </w:p>
        </w:tc>
      </w:tr>
      <w:tr>
        <w:tc>
          <w:tcPr>
            <w:tcW w:type="dxa" w:w="2628"/>
            <w:vAlign w:val="center"/>
          </w:tcPr>
          <w:p>
            <w:r/>
            <w:r>
              <w:rPr>
                <w:b w:val="0"/>
                <w:sz w:val="18"/>
              </w:rPr>
              <w:t>Business Analysis &amp; Requirements Engagement</w:t>
            </w:r>
          </w:p>
        </w:tc>
        <w:tc>
          <w:tcPr>
            <w:tcW w:type="dxa" w:w="2628"/>
            <w:vAlign w:val="center"/>
          </w:tcPr>
          <w:p>
            <w:r/>
            <w:r>
              <w:rPr>
                <w:b w:val="0"/>
                <w:sz w:val="18"/>
              </w:rPr>
              <w:t>Requirements discovery and business analysis for application, cloud, and transformation initiatives.</w:t>
            </w:r>
          </w:p>
        </w:tc>
        <w:tc>
          <w:tcPr>
            <w:tcW w:type="dxa" w:w="2628"/>
            <w:vAlign w:val="center"/>
          </w:tcPr>
          <w:p>
            <w:r/>
            <w:r>
              <w:rPr>
                <w:b w:val="0"/>
                <w:sz w:val="18"/>
              </w:rPr>
              <w:t>1-12 months</w:t>
            </w:r>
          </w:p>
        </w:tc>
        <w:tc>
          <w:tcPr>
            <w:tcW w:type="dxa" w:w="2628"/>
            <w:vAlign w:val="center"/>
          </w:tcPr>
          <w:p>
            <w:r/>
            <w:r>
              <w:rPr>
                <w:b w:val="0"/>
                <w:sz w:val="18"/>
              </w:rPr>
              <w:t>BRD, FRD, process maps, user stories, personas, traceability matrix</w:t>
            </w:r>
          </w:p>
        </w:tc>
      </w:tr>
      <w:tr>
        <w:tc>
          <w:tcPr>
            <w:tcW w:type="dxa" w:w="2628"/>
            <w:vAlign w:val="center"/>
          </w:tcPr>
          <w:p>
            <w:r/>
            <w:r>
              <w:rPr>
                <w:b w:val="0"/>
                <w:sz w:val="18"/>
              </w:rPr>
              <w:t>Digital Transformation Roadmap</w:t>
            </w:r>
          </w:p>
        </w:tc>
        <w:tc>
          <w:tcPr>
            <w:tcW w:type="dxa" w:w="2628"/>
            <w:vAlign w:val="center"/>
          </w:tcPr>
          <w:p>
            <w:r/>
            <w:r>
              <w:rPr>
                <w:b w:val="0"/>
                <w:sz w:val="18"/>
              </w:rPr>
              <w:t>Assessment and roadmap for modernization, cloud, process automation, and enterprise applications.</w:t>
            </w:r>
          </w:p>
        </w:tc>
        <w:tc>
          <w:tcPr>
            <w:tcW w:type="dxa" w:w="2628"/>
            <w:vAlign w:val="center"/>
          </w:tcPr>
          <w:p>
            <w:r/>
            <w:r>
              <w:rPr>
                <w:b w:val="0"/>
                <w:sz w:val="18"/>
              </w:rPr>
              <w:t>4-16 weeks</w:t>
            </w:r>
          </w:p>
        </w:tc>
        <w:tc>
          <w:tcPr>
            <w:tcW w:type="dxa" w:w="2628"/>
            <w:vAlign w:val="center"/>
          </w:tcPr>
          <w:p>
            <w:r/>
            <w:r>
              <w:rPr>
                <w:b w:val="0"/>
                <w:sz w:val="18"/>
              </w:rPr>
              <w:t>Current state, future state, business case, roadmap, investment plan</w:t>
            </w:r>
          </w:p>
        </w:tc>
      </w:tr>
      <w:tr>
        <w:tc>
          <w:tcPr>
            <w:tcW w:type="dxa" w:w="2628"/>
            <w:vAlign w:val="center"/>
          </w:tcPr>
          <w:p>
            <w:r/>
            <w:r>
              <w:rPr>
                <w:b w:val="0"/>
                <w:sz w:val="18"/>
              </w:rPr>
              <w:t>Project Recovery / Health Check</w:t>
            </w:r>
          </w:p>
        </w:tc>
        <w:tc>
          <w:tcPr>
            <w:tcW w:type="dxa" w:w="2628"/>
            <w:vAlign w:val="center"/>
          </w:tcPr>
          <w:p>
            <w:r/>
            <w:r>
              <w:rPr>
                <w:b w:val="0"/>
                <w:sz w:val="18"/>
              </w:rPr>
              <w:t>Independent review of troubled or high-risk projects to stabilize delivery.</w:t>
            </w:r>
          </w:p>
        </w:tc>
        <w:tc>
          <w:tcPr>
            <w:tcW w:type="dxa" w:w="2628"/>
            <w:vAlign w:val="center"/>
          </w:tcPr>
          <w:p>
            <w:r/>
            <w:r>
              <w:rPr>
                <w:b w:val="0"/>
                <w:sz w:val="18"/>
              </w:rPr>
              <w:t>2-8 weeks</w:t>
            </w:r>
          </w:p>
        </w:tc>
        <w:tc>
          <w:tcPr>
            <w:tcW w:type="dxa" w:w="2628"/>
            <w:vAlign w:val="center"/>
          </w:tcPr>
          <w:p>
            <w:r/>
            <w:r>
              <w:rPr>
                <w:b w:val="0"/>
                <w:sz w:val="18"/>
              </w:rPr>
              <w:t>Findings report, recovery plan, risk mitigation, governance actions</w:t>
            </w:r>
          </w:p>
        </w:tc>
      </w:tr>
      <w:tr>
        <w:tc>
          <w:tcPr>
            <w:tcW w:type="dxa" w:w="2628"/>
            <w:vAlign w:val="center"/>
          </w:tcPr>
          <w:p>
            <w:r/>
            <w:r>
              <w:rPr>
                <w:b w:val="0"/>
                <w:sz w:val="18"/>
              </w:rPr>
              <w:t>Technology Implementation Oversight</w:t>
            </w:r>
          </w:p>
        </w:tc>
        <w:tc>
          <w:tcPr>
            <w:tcW w:type="dxa" w:w="2628"/>
            <w:vAlign w:val="center"/>
          </w:tcPr>
          <w:p>
            <w:r/>
            <w:r>
              <w:rPr>
                <w:b w:val="0"/>
                <w:sz w:val="18"/>
              </w:rPr>
              <w:t>Delivery oversight for platforms such as Azure, AWS, SharePoint, Dynamics 365, Salesforce and ServiceNow.</w:t>
            </w:r>
          </w:p>
        </w:tc>
        <w:tc>
          <w:tcPr>
            <w:tcW w:type="dxa" w:w="2628"/>
            <w:vAlign w:val="center"/>
          </w:tcPr>
          <w:p>
            <w:r/>
            <w:r>
              <w:rPr>
                <w:b w:val="0"/>
                <w:sz w:val="18"/>
              </w:rPr>
              <w:t>3-18 months</w:t>
            </w:r>
          </w:p>
        </w:tc>
        <w:tc>
          <w:tcPr>
            <w:tcW w:type="dxa" w:w="2628"/>
            <w:vAlign w:val="center"/>
          </w:tcPr>
          <w:p>
            <w:r/>
            <w:r>
              <w:rPr>
                <w:b w:val="0"/>
                <w:sz w:val="18"/>
              </w:rPr>
              <w:t>Implementation governance, vendor coordination, sprint oversight, readiness plan</w:t>
            </w:r>
          </w:p>
        </w:tc>
      </w:tr>
    </w:tbl>
    <w:p>
      <w:pPr>
        <w:pStyle w:val="Heading2"/>
      </w:pPr>
      <w:r>
        <w:rPr>
          <w:rFonts w:ascii="Arial" w:hAnsi="Arial"/>
        </w:rPr>
        <w:t>Engagement Model Selection Guide</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Client Need</w:t>
            </w:r>
          </w:p>
        </w:tc>
        <w:tc>
          <w:tcPr>
            <w:tcW w:type="dxa" w:w="5256"/>
            <w:vAlign w:val="center"/>
            <w:shd w:fill="1F4E79"/>
          </w:tcPr>
          <w:p>
            <w:r/>
            <w:r>
              <w:rPr>
                <w:b/>
                <w:color w:val="FFFFFF"/>
                <w:sz w:val="18"/>
              </w:rPr>
              <w:t>Recommended PMP-IT Engagement</w:t>
            </w:r>
          </w:p>
        </w:tc>
      </w:tr>
      <w:tr>
        <w:tc>
          <w:tcPr>
            <w:tcW w:type="dxa" w:w="5256"/>
            <w:vAlign w:val="center"/>
          </w:tcPr>
          <w:p>
            <w:r/>
            <w:r>
              <w:rPr>
                <w:b w:val="0"/>
                <w:sz w:val="18"/>
              </w:rPr>
              <w:t>Need strategic direction</w:t>
            </w:r>
          </w:p>
        </w:tc>
        <w:tc>
          <w:tcPr>
            <w:tcW w:type="dxa" w:w="5256"/>
            <w:vAlign w:val="center"/>
          </w:tcPr>
          <w:p>
            <w:r/>
            <w:r>
              <w:rPr>
                <w:b w:val="0"/>
                <w:sz w:val="18"/>
              </w:rPr>
              <w:t>Executive Advisory or Digital Transformation Roadmap</w:t>
            </w:r>
          </w:p>
        </w:tc>
      </w:tr>
      <w:tr>
        <w:tc>
          <w:tcPr>
            <w:tcW w:type="dxa" w:w="5256"/>
            <w:vAlign w:val="center"/>
          </w:tcPr>
          <w:p>
            <w:r/>
            <w:r>
              <w:rPr>
                <w:b w:val="0"/>
                <w:sz w:val="18"/>
              </w:rPr>
              <w:t>Need delivery leadership</w:t>
            </w:r>
          </w:p>
        </w:tc>
        <w:tc>
          <w:tcPr>
            <w:tcW w:type="dxa" w:w="5256"/>
            <w:vAlign w:val="center"/>
          </w:tcPr>
          <w:p>
            <w:r/>
            <w:r>
              <w:rPr>
                <w:b w:val="0"/>
                <w:sz w:val="18"/>
              </w:rPr>
              <w:t>Fractional Project Director or Senior Project Manager</w:t>
            </w:r>
          </w:p>
        </w:tc>
      </w:tr>
      <w:tr>
        <w:tc>
          <w:tcPr>
            <w:tcW w:type="dxa" w:w="5256"/>
            <w:vAlign w:val="center"/>
          </w:tcPr>
          <w:p>
            <w:r/>
            <w:r>
              <w:rPr>
                <w:b w:val="0"/>
                <w:sz w:val="18"/>
              </w:rPr>
              <w:t>Need governance and reporting</w:t>
            </w:r>
          </w:p>
        </w:tc>
        <w:tc>
          <w:tcPr>
            <w:tcW w:type="dxa" w:w="5256"/>
            <w:vAlign w:val="center"/>
          </w:tcPr>
          <w:p>
            <w:r/>
            <w:r>
              <w:rPr>
                <w:b w:val="0"/>
                <w:sz w:val="18"/>
              </w:rPr>
              <w:t>PMO Lead / PMO Advisor</w:t>
            </w:r>
          </w:p>
        </w:tc>
      </w:tr>
      <w:tr>
        <w:tc>
          <w:tcPr>
            <w:tcW w:type="dxa" w:w="5256"/>
            <w:vAlign w:val="center"/>
          </w:tcPr>
          <w:p>
            <w:r/>
            <w:r>
              <w:rPr>
                <w:b w:val="0"/>
                <w:sz w:val="18"/>
              </w:rPr>
              <w:t>Need clear requirements</w:t>
            </w:r>
          </w:p>
        </w:tc>
        <w:tc>
          <w:tcPr>
            <w:tcW w:type="dxa" w:w="5256"/>
            <w:vAlign w:val="center"/>
          </w:tcPr>
          <w:p>
            <w:r/>
            <w:r>
              <w:rPr>
                <w:b w:val="0"/>
                <w:sz w:val="18"/>
              </w:rPr>
              <w:t>Business Analysis &amp; Requirements Engagement</w:t>
            </w:r>
          </w:p>
        </w:tc>
      </w:tr>
      <w:tr>
        <w:tc>
          <w:tcPr>
            <w:tcW w:type="dxa" w:w="5256"/>
            <w:vAlign w:val="center"/>
          </w:tcPr>
          <w:p>
            <w:r/>
            <w:r>
              <w:rPr>
                <w:b w:val="0"/>
                <w:sz w:val="18"/>
              </w:rPr>
              <w:t>Need to rescue a project</w:t>
            </w:r>
          </w:p>
        </w:tc>
        <w:tc>
          <w:tcPr>
            <w:tcW w:type="dxa" w:w="5256"/>
            <w:vAlign w:val="center"/>
          </w:tcPr>
          <w:p>
            <w:r/>
            <w:r>
              <w:rPr>
                <w:b w:val="0"/>
                <w:sz w:val="18"/>
              </w:rPr>
              <w:t>Project Recovery / Health Check</w:t>
            </w:r>
          </w:p>
        </w:tc>
      </w:tr>
      <w:tr>
        <w:tc>
          <w:tcPr>
            <w:tcW w:type="dxa" w:w="5256"/>
            <w:vAlign w:val="center"/>
          </w:tcPr>
          <w:p>
            <w:r/>
            <w:r>
              <w:rPr>
                <w:b w:val="0"/>
                <w:sz w:val="18"/>
              </w:rPr>
              <w:t>Need platform delivery oversight</w:t>
            </w:r>
          </w:p>
        </w:tc>
        <w:tc>
          <w:tcPr>
            <w:tcW w:type="dxa" w:w="5256"/>
            <w:vAlign w:val="center"/>
          </w:tcPr>
          <w:p>
            <w:r/>
            <w:r>
              <w:rPr>
                <w:b w:val="0"/>
                <w:sz w:val="18"/>
              </w:rPr>
              <w:t>Technology Implementation Oversight</w:t>
            </w:r>
          </w:p>
        </w:tc>
      </w:tr>
    </w:tbl>
    <w:tbl>
      <w:tblPr>
        <w:tblW w:type="auto" w:w="0"/>
        <w:jc w:val="center"/>
        <w:tblLook w:firstColumn="1" w:firstRow="1" w:lastColumn="0" w:lastRow="0" w:noHBand="0" w:noVBand="1" w:val="04A0"/>
      </w:tblPr>
      <w:tblGrid>
        <w:gridCol w:w="10512"/>
      </w:tblGrid>
      <w:tr>
        <w:tc>
          <w:tcPr>
            <w:tcW w:type="dxa" w:w="10512"/>
            <w:shd w:fill="EAF2F8"/>
          </w:tcPr>
          <w:p>
            <w:r>
              <w:rPr>
                <w:b/>
                <w:color w:val="1F4E79"/>
                <w:sz w:val="22"/>
              </w:rPr>
              <w:t>Remote-First Delivery</w:t>
              <w:br/>
            </w:r>
            <w:r>
              <w:rPr>
                <w:sz w:val="18"/>
              </w:rPr>
              <w:t>PMP-IT Consulting supports remote-first engagements with occasional travel for executive workshops, project kickoffs, stakeholder alignment sessions, major milestones, and steering committee presentations.</w:t>
            </w:r>
          </w:p>
        </w:tc>
      </w:tr>
    </w:tbl>
    <w:p/>
    <w:p>
      <w:r>
        <w:rPr>
          <w:rFonts w:ascii="Arial" w:hAnsi="Arial"/>
        </w:rPr>
        <w:br w:type="page"/>
      </w:r>
    </w:p>
    <w:p>
      <w:pPr>
        <w:pStyle w:val="Heading1"/>
      </w:pPr>
      <w:r>
        <w:rPr>
          <w:rFonts w:ascii="Arial" w:hAnsi="Arial"/>
        </w:rPr>
        <w:t>2. Representative Projects</w:t>
      </w:r>
    </w:p>
    <w:p>
      <w:r>
        <w:rPr>
          <w:rFonts w:ascii="Arial" w:hAnsi="Arial"/>
        </w:rPr>
        <w:t>The following representative projects demonstrate experience across digital transformation, data centre modernization, cloud, cybersecurity, enterprise applications, business analysis, and PMO governance for Government of Canada departments and agencies.</w:t>
      </w:r>
    </w:p>
    <w:p>
      <w:pPr>
        <w:pStyle w:val="Heading2"/>
      </w:pPr>
      <w:r>
        <w:rPr>
          <w:rFonts w:ascii="Arial" w:hAnsi="Arial"/>
        </w:rPr>
        <w:t>National Defence</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2025-2026</w:t>
            </w:r>
          </w:p>
        </w:tc>
      </w:tr>
      <w:tr>
        <w:tc>
          <w:tcPr>
            <w:tcW w:type="dxa" w:w="5256"/>
            <w:vAlign w:val="center"/>
            <w:shd w:fill="1F4E79"/>
          </w:tcPr>
          <w:p>
            <w:r/>
            <w:r>
              <w:rPr>
                <w:b/>
                <w:color w:val="FFFFFF"/>
                <w:sz w:val="18"/>
              </w:rPr>
              <w:t>Role</w:t>
            </w:r>
          </w:p>
        </w:tc>
        <w:tc>
          <w:tcPr>
            <w:tcW w:type="dxa" w:w="5256"/>
            <w:vAlign w:val="center"/>
          </w:tcPr>
          <w:p>
            <w:r/>
            <w:r>
              <w:rPr>
                <w:b w:val="0"/>
                <w:sz w:val="18"/>
              </w:rPr>
              <w:t>Project Manager</w:t>
            </w:r>
          </w:p>
        </w:tc>
      </w:tr>
      <w:tr>
        <w:tc>
          <w:tcPr>
            <w:tcW w:type="dxa" w:w="5256"/>
            <w:vAlign w:val="center"/>
            <w:shd w:fill="1F4E79"/>
          </w:tcPr>
          <w:p>
            <w:r/>
            <w:r>
              <w:rPr>
                <w:b/>
                <w:color w:val="FFFFFF"/>
                <w:sz w:val="18"/>
              </w:rPr>
              <w:t>Scope / Challenge</w:t>
            </w:r>
          </w:p>
        </w:tc>
        <w:tc>
          <w:tcPr>
            <w:tcW w:type="dxa" w:w="5256"/>
            <w:vAlign w:val="center"/>
          </w:tcPr>
          <w:p>
            <w:r/>
            <w:r>
              <w:rPr>
                <w:b w:val="0"/>
                <w:sz w:val="18"/>
              </w:rPr>
              <w:t>Enterprise architecture governance, security alignment, MAIVIS/SMSRC case management, RBAC, requirements framework, executive briefs.</w:t>
            </w:r>
          </w:p>
        </w:tc>
      </w:tr>
      <w:tr>
        <w:tc>
          <w:tcPr>
            <w:tcW w:type="dxa" w:w="5256"/>
            <w:vAlign w:val="center"/>
            <w:shd w:fill="1F4E79"/>
          </w:tcPr>
          <w:p>
            <w:r/>
            <w:r>
              <w:rPr>
                <w:b/>
                <w:color w:val="FFFFFF"/>
                <w:sz w:val="18"/>
              </w:rPr>
              <w:t>Key Deliverables</w:t>
            </w:r>
          </w:p>
        </w:tc>
        <w:tc>
          <w:tcPr>
            <w:tcW w:type="dxa" w:w="5256"/>
            <w:vAlign w:val="center"/>
          </w:tcPr>
          <w:p>
            <w:r/>
            <w:r>
              <w:rPr>
                <w:b w:val="0"/>
                <w:sz w:val="18"/>
              </w:rPr>
              <w:t>EA governance, BRD/L1/L2 requirements, personas, journey maps, RBAC model, dashboards.</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Global Affairs Canada</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2025</w:t>
            </w:r>
          </w:p>
        </w:tc>
      </w:tr>
      <w:tr>
        <w:tc>
          <w:tcPr>
            <w:tcW w:type="dxa" w:w="5256"/>
            <w:vAlign w:val="center"/>
            <w:shd w:fill="1F4E79"/>
          </w:tcPr>
          <w:p>
            <w:r/>
            <w:r>
              <w:rPr>
                <w:b/>
                <w:color w:val="FFFFFF"/>
                <w:sz w:val="18"/>
              </w:rPr>
              <w:t>Role</w:t>
            </w:r>
          </w:p>
        </w:tc>
        <w:tc>
          <w:tcPr>
            <w:tcW w:type="dxa" w:w="5256"/>
            <w:vAlign w:val="center"/>
          </w:tcPr>
          <w:p>
            <w:r/>
            <w:r>
              <w:rPr>
                <w:b w:val="0"/>
                <w:sz w:val="18"/>
              </w:rPr>
              <w:t>Business Analyst / Project Manager</w:t>
            </w:r>
          </w:p>
        </w:tc>
      </w:tr>
      <w:tr>
        <w:tc>
          <w:tcPr>
            <w:tcW w:type="dxa" w:w="5256"/>
            <w:vAlign w:val="center"/>
            <w:shd w:fill="1F4E79"/>
          </w:tcPr>
          <w:p>
            <w:r/>
            <w:r>
              <w:rPr>
                <w:b/>
                <w:color w:val="FFFFFF"/>
                <w:sz w:val="18"/>
              </w:rPr>
              <w:t>Scope / Challenge</w:t>
            </w:r>
          </w:p>
        </w:tc>
        <w:tc>
          <w:tcPr>
            <w:tcW w:type="dxa" w:w="5256"/>
            <w:vAlign w:val="center"/>
          </w:tcPr>
          <w:p>
            <w:r/>
            <w:r>
              <w:rPr>
                <w:b w:val="0"/>
                <w:sz w:val="18"/>
              </w:rPr>
              <w:t>SharePoint Online Sphere migration, information architecture, role-based access, stakeholder workshops, migration coordination.</w:t>
            </w:r>
          </w:p>
        </w:tc>
      </w:tr>
      <w:tr>
        <w:tc>
          <w:tcPr>
            <w:tcW w:type="dxa" w:w="5256"/>
            <w:vAlign w:val="center"/>
            <w:shd w:fill="1F4E79"/>
          </w:tcPr>
          <w:p>
            <w:r/>
            <w:r>
              <w:rPr>
                <w:b/>
                <w:color w:val="FFFFFF"/>
                <w:sz w:val="18"/>
              </w:rPr>
              <w:t>Key Deliverables</w:t>
            </w:r>
          </w:p>
        </w:tc>
        <w:tc>
          <w:tcPr>
            <w:tcW w:type="dxa" w:w="5256"/>
            <w:vAlign w:val="center"/>
          </w:tcPr>
          <w:p>
            <w:r/>
            <w:r>
              <w:rPr>
                <w:b w:val="0"/>
                <w:sz w:val="18"/>
              </w:rPr>
              <w:t>Migration plan, information architecture, permission model, training support, validation approach.</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Atlantic Canada Opportunities Agency</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2024</w:t>
            </w:r>
          </w:p>
        </w:tc>
      </w:tr>
      <w:tr>
        <w:tc>
          <w:tcPr>
            <w:tcW w:type="dxa" w:w="5256"/>
            <w:vAlign w:val="center"/>
            <w:shd w:fill="1F4E79"/>
          </w:tcPr>
          <w:p>
            <w:r/>
            <w:r>
              <w:rPr>
                <w:b/>
                <w:color w:val="FFFFFF"/>
                <w:sz w:val="18"/>
              </w:rPr>
              <w:t>Role</w:t>
            </w:r>
          </w:p>
        </w:tc>
        <w:tc>
          <w:tcPr>
            <w:tcW w:type="dxa" w:w="5256"/>
            <w:vAlign w:val="center"/>
          </w:tcPr>
          <w:p>
            <w:r/>
            <w:r>
              <w:rPr>
                <w:b w:val="0"/>
                <w:sz w:val="18"/>
              </w:rPr>
              <w:t>Agile Project Manager</w:t>
            </w:r>
          </w:p>
        </w:tc>
      </w:tr>
      <w:tr>
        <w:tc>
          <w:tcPr>
            <w:tcW w:type="dxa" w:w="5256"/>
            <w:vAlign w:val="center"/>
            <w:shd w:fill="1F4E79"/>
          </w:tcPr>
          <w:p>
            <w:r/>
            <w:r>
              <w:rPr>
                <w:b/>
                <w:color w:val="FFFFFF"/>
                <w:sz w:val="18"/>
              </w:rPr>
              <w:t>Scope / Challenge</w:t>
            </w:r>
          </w:p>
        </w:tc>
        <w:tc>
          <w:tcPr>
            <w:tcW w:type="dxa" w:w="5256"/>
            <w:vAlign w:val="center"/>
          </w:tcPr>
          <w:p>
            <w:r/>
            <w:r>
              <w:rPr>
                <w:b w:val="0"/>
                <w:sz w:val="18"/>
              </w:rPr>
              <w:t>Digital modernization using Azure, Dynamics 365 CRM, .NET, Azure DevOps, portal delivery, Agile teams.</w:t>
            </w:r>
          </w:p>
        </w:tc>
      </w:tr>
      <w:tr>
        <w:tc>
          <w:tcPr>
            <w:tcW w:type="dxa" w:w="5256"/>
            <w:vAlign w:val="center"/>
            <w:shd w:fill="1F4E79"/>
          </w:tcPr>
          <w:p>
            <w:r/>
            <w:r>
              <w:rPr>
                <w:b/>
                <w:color w:val="FFFFFF"/>
                <w:sz w:val="18"/>
              </w:rPr>
              <w:t>Key Deliverables</w:t>
            </w:r>
          </w:p>
        </w:tc>
        <w:tc>
          <w:tcPr>
            <w:tcW w:type="dxa" w:w="5256"/>
            <w:vAlign w:val="center"/>
          </w:tcPr>
          <w:p>
            <w:r/>
            <w:r>
              <w:rPr>
                <w:b w:val="0"/>
                <w:sz w:val="18"/>
              </w:rPr>
              <w:t>Scrum ceremonies, sprint dashboards, backlog management, integration coordination.</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Environment and Climate Change Canada</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2022-2024</w:t>
            </w:r>
          </w:p>
        </w:tc>
      </w:tr>
      <w:tr>
        <w:tc>
          <w:tcPr>
            <w:tcW w:type="dxa" w:w="5256"/>
            <w:vAlign w:val="center"/>
            <w:shd w:fill="1F4E79"/>
          </w:tcPr>
          <w:p>
            <w:r/>
            <w:r>
              <w:rPr>
                <w:b/>
                <w:color w:val="FFFFFF"/>
                <w:sz w:val="18"/>
              </w:rPr>
              <w:t>Role</w:t>
            </w:r>
          </w:p>
        </w:tc>
        <w:tc>
          <w:tcPr>
            <w:tcW w:type="dxa" w:w="5256"/>
            <w:vAlign w:val="center"/>
          </w:tcPr>
          <w:p>
            <w:r/>
            <w:r>
              <w:rPr>
                <w:b w:val="0"/>
                <w:sz w:val="18"/>
              </w:rPr>
              <w:t>Senior Project Manager</w:t>
            </w:r>
          </w:p>
        </w:tc>
      </w:tr>
      <w:tr>
        <w:tc>
          <w:tcPr>
            <w:tcW w:type="dxa" w:w="5256"/>
            <w:vAlign w:val="center"/>
            <w:shd w:fill="1F4E79"/>
          </w:tcPr>
          <w:p>
            <w:r/>
            <w:r>
              <w:rPr>
                <w:b/>
                <w:color w:val="FFFFFF"/>
                <w:sz w:val="18"/>
              </w:rPr>
              <w:t>Scope / Challenge</w:t>
            </w:r>
          </w:p>
        </w:tc>
        <w:tc>
          <w:tcPr>
            <w:tcW w:type="dxa" w:w="5256"/>
            <w:vAlign w:val="center"/>
          </w:tcPr>
          <w:p>
            <w:r/>
            <w:r>
              <w:rPr>
                <w:b w:val="0"/>
                <w:sz w:val="18"/>
              </w:rPr>
              <w:t>Federal Plastics Registry, Landfill Methane, Azure, Power Platform, regulatory systems, SA&amp;A, PMAC governance.</w:t>
            </w:r>
          </w:p>
        </w:tc>
      </w:tr>
      <w:tr>
        <w:tc>
          <w:tcPr>
            <w:tcW w:type="dxa" w:w="5256"/>
            <w:vAlign w:val="center"/>
            <w:shd w:fill="1F4E79"/>
          </w:tcPr>
          <w:p>
            <w:r/>
            <w:r>
              <w:rPr>
                <w:b/>
                <w:color w:val="FFFFFF"/>
                <w:sz w:val="18"/>
              </w:rPr>
              <w:t>Key Deliverables</w:t>
            </w:r>
          </w:p>
        </w:tc>
        <w:tc>
          <w:tcPr>
            <w:tcW w:type="dxa" w:w="5256"/>
            <w:vAlign w:val="center"/>
          </w:tcPr>
          <w:p>
            <w:r/>
            <w:r>
              <w:rPr>
                <w:b w:val="0"/>
                <w:sz w:val="18"/>
              </w:rPr>
              <w:t>Project plans, risk register, PMAC presentations, governance, cloud delivery oversight.</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Environment and Climate Change Canada</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2021-2022</w:t>
            </w:r>
          </w:p>
        </w:tc>
      </w:tr>
      <w:tr>
        <w:tc>
          <w:tcPr>
            <w:tcW w:type="dxa" w:w="5256"/>
            <w:vAlign w:val="center"/>
            <w:shd w:fill="1F4E79"/>
          </w:tcPr>
          <w:p>
            <w:r/>
            <w:r>
              <w:rPr>
                <w:b/>
                <w:color w:val="FFFFFF"/>
                <w:sz w:val="18"/>
              </w:rPr>
              <w:t>Role</w:t>
            </w:r>
          </w:p>
        </w:tc>
        <w:tc>
          <w:tcPr>
            <w:tcW w:type="dxa" w:w="5256"/>
            <w:vAlign w:val="center"/>
          </w:tcPr>
          <w:p>
            <w:r/>
            <w:r>
              <w:rPr>
                <w:b w:val="0"/>
                <w:sz w:val="18"/>
              </w:rPr>
              <w:t>Senior Project Manager</w:t>
            </w:r>
          </w:p>
        </w:tc>
      </w:tr>
      <w:tr>
        <w:tc>
          <w:tcPr>
            <w:tcW w:type="dxa" w:w="5256"/>
            <w:vAlign w:val="center"/>
            <w:shd w:fill="1F4E79"/>
          </w:tcPr>
          <w:p>
            <w:r/>
            <w:r>
              <w:rPr>
                <w:b/>
                <w:color w:val="FFFFFF"/>
                <w:sz w:val="18"/>
              </w:rPr>
              <w:t>Scope / Challenge</w:t>
            </w:r>
          </w:p>
        </w:tc>
        <w:tc>
          <w:tcPr>
            <w:tcW w:type="dxa" w:w="5256"/>
            <w:vAlign w:val="center"/>
          </w:tcPr>
          <w:p>
            <w:r/>
            <w:r>
              <w:rPr>
                <w:b w:val="0"/>
                <w:sz w:val="18"/>
              </w:rPr>
              <w:t>OBPS, Clean Fuel Regulations, GHG Offset initiatives using AWS, Azure DevOps, Agile, data architecture, regulatory reporting.</w:t>
            </w:r>
          </w:p>
        </w:tc>
      </w:tr>
      <w:tr>
        <w:tc>
          <w:tcPr>
            <w:tcW w:type="dxa" w:w="5256"/>
            <w:vAlign w:val="center"/>
            <w:shd w:fill="1F4E79"/>
          </w:tcPr>
          <w:p>
            <w:r/>
            <w:r>
              <w:rPr>
                <w:b/>
                <w:color w:val="FFFFFF"/>
                <w:sz w:val="18"/>
              </w:rPr>
              <w:t>Key Deliverables</w:t>
            </w:r>
          </w:p>
        </w:tc>
        <w:tc>
          <w:tcPr>
            <w:tcW w:type="dxa" w:w="5256"/>
            <w:vAlign w:val="center"/>
          </w:tcPr>
          <w:p>
            <w:r/>
            <w:r>
              <w:rPr>
                <w:b w:val="0"/>
                <w:sz w:val="18"/>
              </w:rPr>
              <w:t>Dashboards, finance updates, change requests, security controls, SA&amp;A coordination.</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Shared Services Canada - Data Centre Branch</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2019-2021</w:t>
            </w:r>
          </w:p>
        </w:tc>
      </w:tr>
      <w:tr>
        <w:tc>
          <w:tcPr>
            <w:tcW w:type="dxa" w:w="5256"/>
            <w:vAlign w:val="center"/>
            <w:shd w:fill="1F4E79"/>
          </w:tcPr>
          <w:p>
            <w:r/>
            <w:r>
              <w:rPr>
                <w:b/>
                <w:color w:val="FFFFFF"/>
                <w:sz w:val="18"/>
              </w:rPr>
              <w:t>Role</w:t>
            </w:r>
          </w:p>
        </w:tc>
        <w:tc>
          <w:tcPr>
            <w:tcW w:type="dxa" w:w="5256"/>
            <w:vAlign w:val="center"/>
          </w:tcPr>
          <w:p>
            <w:r/>
            <w:r>
              <w:rPr>
                <w:b w:val="0"/>
                <w:sz w:val="18"/>
              </w:rPr>
              <w:t>Senior Project Manager</w:t>
            </w:r>
          </w:p>
        </w:tc>
      </w:tr>
      <w:tr>
        <w:tc>
          <w:tcPr>
            <w:tcW w:type="dxa" w:w="5256"/>
            <w:vAlign w:val="center"/>
            <w:shd w:fill="1F4E79"/>
          </w:tcPr>
          <w:p>
            <w:r/>
            <w:r>
              <w:rPr>
                <w:b/>
                <w:color w:val="FFFFFF"/>
                <w:sz w:val="18"/>
              </w:rPr>
              <w:t>Scope / Challenge</w:t>
            </w:r>
          </w:p>
        </w:tc>
        <w:tc>
          <w:tcPr>
            <w:tcW w:type="dxa" w:w="5256"/>
            <w:vAlign w:val="center"/>
          </w:tcPr>
          <w:p>
            <w:r/>
            <w:r>
              <w:rPr>
                <w:b w:val="0"/>
                <w:sz w:val="18"/>
              </w:rPr>
              <w:t>Government of Canada labs migration and consolidation, cloud and converged systems, Nutanix, VMware, AWS, Azure.</w:t>
            </w:r>
          </w:p>
        </w:tc>
      </w:tr>
      <w:tr>
        <w:tc>
          <w:tcPr>
            <w:tcW w:type="dxa" w:w="5256"/>
            <w:vAlign w:val="center"/>
            <w:shd w:fill="1F4E79"/>
          </w:tcPr>
          <w:p>
            <w:r/>
            <w:r>
              <w:rPr>
                <w:b/>
                <w:color w:val="FFFFFF"/>
                <w:sz w:val="18"/>
              </w:rPr>
              <w:t>Key Deliverables</w:t>
            </w:r>
          </w:p>
        </w:tc>
        <w:tc>
          <w:tcPr>
            <w:tcW w:type="dxa" w:w="5256"/>
            <w:vAlign w:val="center"/>
          </w:tcPr>
          <w:p>
            <w:r/>
            <w:r>
              <w:rPr>
                <w:b w:val="0"/>
                <w:sz w:val="18"/>
              </w:rPr>
              <w:t>Roadmaps, executive updates, budgeting, data centre interconnectivity, infrastructure coordination.</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Shared Services Canada - Data Networks</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2015-2019</w:t>
            </w:r>
          </w:p>
        </w:tc>
      </w:tr>
      <w:tr>
        <w:tc>
          <w:tcPr>
            <w:tcW w:type="dxa" w:w="5256"/>
            <w:vAlign w:val="center"/>
            <w:shd w:fill="1F4E79"/>
          </w:tcPr>
          <w:p>
            <w:r/>
            <w:r>
              <w:rPr>
                <w:b/>
                <w:color w:val="FFFFFF"/>
                <w:sz w:val="18"/>
              </w:rPr>
              <w:t>Role</w:t>
            </w:r>
          </w:p>
        </w:tc>
        <w:tc>
          <w:tcPr>
            <w:tcW w:type="dxa" w:w="5256"/>
            <w:vAlign w:val="center"/>
          </w:tcPr>
          <w:p>
            <w:r/>
            <w:r>
              <w:rPr>
                <w:b w:val="0"/>
                <w:sz w:val="18"/>
              </w:rPr>
              <w:t>Senior Program / Project Manager</w:t>
            </w:r>
          </w:p>
        </w:tc>
      </w:tr>
      <w:tr>
        <w:tc>
          <w:tcPr>
            <w:tcW w:type="dxa" w:w="5256"/>
            <w:vAlign w:val="center"/>
            <w:shd w:fill="1F4E79"/>
          </w:tcPr>
          <w:p>
            <w:r/>
            <w:r>
              <w:rPr>
                <w:b/>
                <w:color w:val="FFFFFF"/>
                <w:sz w:val="18"/>
              </w:rPr>
              <w:t>Scope / Challenge</w:t>
            </w:r>
          </w:p>
        </w:tc>
        <w:tc>
          <w:tcPr>
            <w:tcW w:type="dxa" w:w="5256"/>
            <w:vAlign w:val="center"/>
          </w:tcPr>
          <w:p>
            <w:r/>
            <w:r>
              <w:rPr>
                <w:b w:val="0"/>
                <w:sz w:val="18"/>
              </w:rPr>
              <w:t>DDI, DNS, DHCP, IPAM, IPv6, NTP, SDN and data centre networking initiatives.</w:t>
            </w:r>
          </w:p>
        </w:tc>
      </w:tr>
      <w:tr>
        <w:tc>
          <w:tcPr>
            <w:tcW w:type="dxa" w:w="5256"/>
            <w:vAlign w:val="center"/>
            <w:shd w:fill="1F4E79"/>
          </w:tcPr>
          <w:p>
            <w:r/>
            <w:r>
              <w:rPr>
                <w:b/>
                <w:color w:val="FFFFFF"/>
                <w:sz w:val="18"/>
              </w:rPr>
              <w:t>Key Deliverables</w:t>
            </w:r>
          </w:p>
        </w:tc>
        <w:tc>
          <w:tcPr>
            <w:tcW w:type="dxa" w:w="5256"/>
            <w:vAlign w:val="center"/>
          </w:tcPr>
          <w:p>
            <w:r/>
            <w:r>
              <w:rPr>
                <w:b w:val="0"/>
                <w:sz w:val="18"/>
              </w:rPr>
              <w:t>Program plans, WBS, risk logs, RFP coordination, enterprise network governance.</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Health Canada</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2006-2015</w:t>
            </w:r>
          </w:p>
        </w:tc>
      </w:tr>
      <w:tr>
        <w:tc>
          <w:tcPr>
            <w:tcW w:type="dxa" w:w="5256"/>
            <w:vAlign w:val="center"/>
            <w:shd w:fill="1F4E79"/>
          </w:tcPr>
          <w:p>
            <w:r/>
            <w:r>
              <w:rPr>
                <w:b/>
                <w:color w:val="FFFFFF"/>
                <w:sz w:val="18"/>
              </w:rPr>
              <w:t>Role</w:t>
            </w:r>
          </w:p>
        </w:tc>
        <w:tc>
          <w:tcPr>
            <w:tcW w:type="dxa" w:w="5256"/>
            <w:vAlign w:val="center"/>
          </w:tcPr>
          <w:p>
            <w:r/>
            <w:r>
              <w:rPr>
                <w:b w:val="0"/>
                <w:sz w:val="18"/>
              </w:rPr>
              <w:t>Senior Project Manager / Technical Advisor</w:t>
            </w:r>
          </w:p>
        </w:tc>
      </w:tr>
      <w:tr>
        <w:tc>
          <w:tcPr>
            <w:tcW w:type="dxa" w:w="5256"/>
            <w:vAlign w:val="center"/>
            <w:shd w:fill="1F4E79"/>
          </w:tcPr>
          <w:p>
            <w:r/>
            <w:r>
              <w:rPr>
                <w:b/>
                <w:color w:val="FFFFFF"/>
                <w:sz w:val="18"/>
              </w:rPr>
              <w:t>Scope / Challenge</w:t>
            </w:r>
          </w:p>
        </w:tc>
        <w:tc>
          <w:tcPr>
            <w:tcW w:type="dxa" w:w="5256"/>
            <w:vAlign w:val="center"/>
          </w:tcPr>
          <w:p>
            <w:r/>
            <w:r>
              <w:rPr>
                <w:b w:val="0"/>
                <w:sz w:val="18"/>
              </w:rPr>
              <w:t>Critical applications, PMO, release management, ITSM, GC Key, RADAR, CCH Teammate, NHPD, Canada Vigilance.</w:t>
            </w:r>
          </w:p>
        </w:tc>
      </w:tr>
      <w:tr>
        <w:tc>
          <w:tcPr>
            <w:tcW w:type="dxa" w:w="5256"/>
            <w:vAlign w:val="center"/>
            <w:shd w:fill="1F4E79"/>
          </w:tcPr>
          <w:p>
            <w:r/>
            <w:r>
              <w:rPr>
                <w:b/>
                <w:color w:val="FFFFFF"/>
                <w:sz w:val="18"/>
              </w:rPr>
              <w:t>Key Deliverables</w:t>
            </w:r>
          </w:p>
        </w:tc>
        <w:tc>
          <w:tcPr>
            <w:tcW w:type="dxa" w:w="5256"/>
            <w:vAlign w:val="center"/>
          </w:tcPr>
          <w:p>
            <w:r/>
            <w:r>
              <w:rPr>
                <w:b w:val="0"/>
                <w:sz w:val="18"/>
              </w:rPr>
              <w:t>Project plans, releases, application deployments, change management, operational transition.</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Public Works and Government Services Canada</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2004-2006</w:t>
            </w:r>
          </w:p>
        </w:tc>
      </w:tr>
      <w:tr>
        <w:tc>
          <w:tcPr>
            <w:tcW w:type="dxa" w:w="5256"/>
            <w:vAlign w:val="center"/>
            <w:shd w:fill="1F4E79"/>
          </w:tcPr>
          <w:p>
            <w:r/>
            <w:r>
              <w:rPr>
                <w:b/>
                <w:color w:val="FFFFFF"/>
                <w:sz w:val="18"/>
              </w:rPr>
              <w:t>Role</w:t>
            </w:r>
          </w:p>
        </w:tc>
        <w:tc>
          <w:tcPr>
            <w:tcW w:type="dxa" w:w="5256"/>
            <w:vAlign w:val="center"/>
          </w:tcPr>
          <w:p>
            <w:r/>
            <w:r>
              <w:rPr>
                <w:b w:val="0"/>
                <w:sz w:val="18"/>
              </w:rPr>
              <w:t>Senior Project Manager / Communications Specialist</w:t>
            </w:r>
          </w:p>
        </w:tc>
      </w:tr>
      <w:tr>
        <w:tc>
          <w:tcPr>
            <w:tcW w:type="dxa" w:w="5256"/>
            <w:vAlign w:val="center"/>
            <w:shd w:fill="1F4E79"/>
          </w:tcPr>
          <w:p>
            <w:r/>
            <w:r>
              <w:rPr>
                <w:b/>
                <w:color w:val="FFFFFF"/>
                <w:sz w:val="18"/>
              </w:rPr>
              <w:t>Scope / Challenge</w:t>
            </w:r>
          </w:p>
        </w:tc>
        <w:tc>
          <w:tcPr>
            <w:tcW w:type="dxa" w:w="5256"/>
            <w:vAlign w:val="center"/>
          </w:tcPr>
          <w:p>
            <w:r/>
            <w:r>
              <w:rPr>
                <w:b w:val="0"/>
                <w:sz w:val="18"/>
              </w:rPr>
              <w:t>Firewall migration from Health Canada to PWGSC, VPN, telecom, help desk and security coordination.</w:t>
            </w:r>
          </w:p>
        </w:tc>
      </w:tr>
      <w:tr>
        <w:tc>
          <w:tcPr>
            <w:tcW w:type="dxa" w:w="5256"/>
            <w:vAlign w:val="center"/>
            <w:shd w:fill="1F4E79"/>
          </w:tcPr>
          <w:p>
            <w:r/>
            <w:r>
              <w:rPr>
                <w:b/>
                <w:color w:val="FFFFFF"/>
                <w:sz w:val="18"/>
              </w:rPr>
              <w:t>Key Deliverables</w:t>
            </w:r>
          </w:p>
        </w:tc>
        <w:tc>
          <w:tcPr>
            <w:tcW w:type="dxa" w:w="5256"/>
            <w:vAlign w:val="center"/>
          </w:tcPr>
          <w:p>
            <w:r/>
            <w:r>
              <w:rPr>
                <w:b w:val="0"/>
                <w:sz w:val="18"/>
              </w:rPr>
              <w:t>Migration plans, stakeholder coordination, network security implementation.</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Health Canada - IT Security</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Timeline</w:t>
            </w:r>
          </w:p>
        </w:tc>
        <w:tc>
          <w:tcPr>
            <w:tcW w:type="dxa" w:w="5256"/>
            <w:vAlign w:val="center"/>
          </w:tcPr>
          <w:p>
            <w:r/>
            <w:r>
              <w:rPr>
                <w:b w:val="0"/>
                <w:sz w:val="18"/>
              </w:rPr>
              <w:t>2003-2004</w:t>
            </w:r>
          </w:p>
        </w:tc>
      </w:tr>
      <w:tr>
        <w:tc>
          <w:tcPr>
            <w:tcW w:type="dxa" w:w="5256"/>
            <w:vAlign w:val="center"/>
            <w:shd w:fill="1F4E79"/>
          </w:tcPr>
          <w:p>
            <w:r/>
            <w:r>
              <w:rPr>
                <w:b/>
                <w:color w:val="FFFFFF"/>
                <w:sz w:val="18"/>
              </w:rPr>
              <w:t>Role</w:t>
            </w:r>
          </w:p>
        </w:tc>
        <w:tc>
          <w:tcPr>
            <w:tcW w:type="dxa" w:w="5256"/>
            <w:vAlign w:val="center"/>
          </w:tcPr>
          <w:p>
            <w:r/>
            <w:r>
              <w:rPr>
                <w:b w:val="0"/>
                <w:sz w:val="18"/>
              </w:rPr>
              <w:t>IT Security Manager</w:t>
            </w:r>
          </w:p>
        </w:tc>
      </w:tr>
      <w:tr>
        <w:tc>
          <w:tcPr>
            <w:tcW w:type="dxa" w:w="5256"/>
            <w:vAlign w:val="center"/>
            <w:shd w:fill="1F4E79"/>
          </w:tcPr>
          <w:p>
            <w:r/>
            <w:r>
              <w:rPr>
                <w:b/>
                <w:color w:val="FFFFFF"/>
                <w:sz w:val="18"/>
              </w:rPr>
              <w:t>Scope / Challenge</w:t>
            </w:r>
          </w:p>
        </w:tc>
        <w:tc>
          <w:tcPr>
            <w:tcW w:type="dxa" w:w="5256"/>
            <w:vAlign w:val="center"/>
          </w:tcPr>
          <w:p>
            <w:r/>
            <w:r>
              <w:rPr>
                <w:b w:val="0"/>
                <w:sz w:val="18"/>
              </w:rPr>
              <w:t>Firewall, antivirus, web filtering, load balancing, PKI/security operations, data centre technical services.</w:t>
            </w:r>
          </w:p>
        </w:tc>
      </w:tr>
      <w:tr>
        <w:tc>
          <w:tcPr>
            <w:tcW w:type="dxa" w:w="5256"/>
            <w:vAlign w:val="center"/>
            <w:shd w:fill="1F4E79"/>
          </w:tcPr>
          <w:p>
            <w:r/>
            <w:r>
              <w:rPr>
                <w:b/>
                <w:color w:val="FFFFFF"/>
                <w:sz w:val="18"/>
              </w:rPr>
              <w:t>Key Deliverables</w:t>
            </w:r>
          </w:p>
        </w:tc>
        <w:tc>
          <w:tcPr>
            <w:tcW w:type="dxa" w:w="5256"/>
            <w:vAlign w:val="center"/>
          </w:tcPr>
          <w:p>
            <w:r/>
            <w:r>
              <w:rPr>
                <w:b w:val="0"/>
                <w:sz w:val="18"/>
              </w:rPr>
              <w:t>Security rollout plans, operations support, team supervision, annual costing and project delivery.</w:t>
            </w:r>
          </w:p>
        </w:tc>
      </w:tr>
      <w:tr>
        <w:tc>
          <w:tcPr>
            <w:tcW w:type="dxa" w:w="5256"/>
            <w:vAlign w:val="center"/>
            <w:shd w:fill="1F4E79"/>
          </w:tcPr>
          <w:p>
            <w:r/>
            <w:r>
              <w:rPr>
                <w:b/>
                <w:color w:val="FFFFFF"/>
                <w:sz w:val="18"/>
              </w:rPr>
              <w:t>Capabilities Demonstrated</w:t>
            </w:r>
          </w:p>
        </w:tc>
        <w:tc>
          <w:tcPr>
            <w:tcW w:type="dxa" w:w="5256"/>
            <w:vAlign w:val="center"/>
          </w:tcPr>
          <w:p>
            <w:r/>
            <w:r>
              <w:rPr>
                <w:b w:val="0"/>
                <w:sz w:val="18"/>
              </w:rPr>
              <w:t>Project leadership, stakeholder management, risk governance, executive reporting, technology delivery.</w:t>
            </w:r>
          </w:p>
        </w:tc>
      </w:tr>
    </w:tbl>
    <w:p/>
    <w:p>
      <w:pPr>
        <w:pStyle w:val="Heading2"/>
      </w:pPr>
      <w:r>
        <w:rPr>
          <w:rFonts w:ascii="Arial" w:hAnsi="Arial"/>
        </w:rPr>
        <w:t>Representative Success Story Themes</w:t>
      </w:r>
    </w:p>
    <w:p>
      <w:pPr>
        <w:pStyle w:val="Heading3"/>
      </w:pPr>
      <w:r>
        <w:rPr>
          <w:rFonts w:ascii="Arial" w:hAnsi="Arial"/>
        </w:rPr>
        <w:t>Modernizing legacy environments</w:t>
      </w:r>
    </w:p>
    <w:p>
      <w:r>
        <w:rPr>
          <w:rFonts w:ascii="Arial" w:hAnsi="Arial"/>
        </w:rPr>
        <w:t>Supported migration from aging systems and mainframe-dependent workflows toward modern cloud, .NET, SaaS, PaaS, and API-enabled platforms.</w:t>
      </w:r>
    </w:p>
    <w:p>
      <w:pPr>
        <w:pStyle w:val="Heading3"/>
      </w:pPr>
      <w:r>
        <w:rPr>
          <w:rFonts w:ascii="Arial" w:hAnsi="Arial"/>
        </w:rPr>
        <w:t>Strengthening governance</w:t>
      </w:r>
    </w:p>
    <w:p>
      <w:r>
        <w:rPr>
          <w:rFonts w:ascii="Arial" w:hAnsi="Arial"/>
        </w:rPr>
        <w:t>Implemented PMO practices, steering committee reporting, PMAC stage-gate documentation, RAID management, and executive decision materials.</w:t>
      </w:r>
    </w:p>
    <w:p>
      <w:pPr>
        <w:pStyle w:val="Heading3"/>
      </w:pPr>
      <w:r>
        <w:rPr>
          <w:rFonts w:ascii="Arial" w:hAnsi="Arial"/>
        </w:rPr>
        <w:t>Improving security posture</w:t>
      </w:r>
    </w:p>
    <w:p>
      <w:r>
        <w:rPr>
          <w:rFonts w:ascii="Arial" w:hAnsi="Arial"/>
        </w:rPr>
        <w:t>Coordinated SA&amp;A, Authority to Operate, RBAC, IAM, privacy, security controls, and compliance alignment.</w:t>
      </w:r>
    </w:p>
    <w:p>
      <w:pPr>
        <w:pStyle w:val="Heading3"/>
      </w:pPr>
      <w:r>
        <w:rPr>
          <w:rFonts w:ascii="Arial" w:hAnsi="Arial"/>
        </w:rPr>
        <w:t>Enabling cloud transformation</w:t>
      </w:r>
    </w:p>
    <w:p>
      <w:r>
        <w:rPr>
          <w:rFonts w:ascii="Arial" w:hAnsi="Arial"/>
        </w:rPr>
        <w:t>Led and supported Azure and AWS delivery activities, cloud adoption, data migration, and hybrid cloud readiness.</w:t>
      </w:r>
    </w:p>
    <w:p>
      <w:pPr>
        <w:pStyle w:val="Heading3"/>
      </w:pPr>
      <w:r>
        <w:rPr>
          <w:rFonts w:ascii="Arial" w:hAnsi="Arial"/>
        </w:rPr>
        <w:t>Delivering enterprise applications</w:t>
      </w:r>
    </w:p>
    <w:p>
      <w:r>
        <w:rPr>
          <w:rFonts w:ascii="Arial" w:hAnsi="Arial"/>
        </w:rPr>
        <w:t>Managed solutions involving SharePoint, Dynamics 365, ServiceNow, Salesforce, Microsoft 365, Azure DevOps, and custom applications.</w:t>
      </w:r>
    </w:p>
    <w:p>
      <w:r>
        <w:rPr>
          <w:rFonts w:ascii="Arial" w:hAnsi="Arial"/>
        </w:rPr>
        <w:br w:type="page"/>
      </w:r>
    </w:p>
    <w:p>
      <w:pPr>
        <w:pStyle w:val="Heading1"/>
      </w:pPr>
      <w:r>
        <w:rPr>
          <w:rFonts w:ascii="Arial" w:hAnsi="Arial"/>
        </w:rPr>
        <w:t>3. Client Benefits</w:t>
      </w:r>
    </w:p>
    <w:p>
      <w:r>
        <w:rPr>
          <w:rFonts w:ascii="Arial" w:hAnsi="Arial"/>
        </w:rPr>
        <w:t>PMP-IT Consulting focuses on measurable business value, reduced delivery risk, stronger governance, and improved stakeholder alignment. The following benefits are applicable across advisory, project management, PMO, business analysis, cloud, cybersecurity, infrastructure, and enterprise application engagements.</w:t>
      </w:r>
    </w:p>
    <w:tbl>
      <w:tblPr>
        <w:tblStyle w:val="TableGrid"/>
        <w:tblW w:type="auto" w:w="0"/>
        <w:tblLook w:firstColumn="1" w:firstRow="1" w:lastColumn="0" w:lastRow="0" w:noHBand="0" w:noVBand="1" w:val="04A0"/>
      </w:tblPr>
      <w:tblGrid>
        <w:gridCol w:w="3504"/>
        <w:gridCol w:w="3504"/>
        <w:gridCol w:w="3504"/>
      </w:tblGrid>
      <w:tr>
        <w:tc>
          <w:tcPr>
            <w:tcW w:type="dxa" w:w="3504"/>
            <w:vAlign w:val="center"/>
            <w:shd w:fill="1F4E79"/>
          </w:tcPr>
          <w:p>
            <w:r/>
            <w:r>
              <w:rPr>
                <w:b/>
                <w:color w:val="FFFFFF"/>
                <w:sz w:val="18"/>
              </w:rPr>
              <w:t>Client Benefit</w:t>
            </w:r>
          </w:p>
        </w:tc>
        <w:tc>
          <w:tcPr>
            <w:tcW w:type="dxa" w:w="3504"/>
            <w:vAlign w:val="center"/>
            <w:shd w:fill="1F4E79"/>
          </w:tcPr>
          <w:p>
            <w:r/>
            <w:r>
              <w:rPr>
                <w:b/>
                <w:color w:val="FFFFFF"/>
                <w:sz w:val="18"/>
              </w:rPr>
              <w:t>How PMP-IT Delivers It</w:t>
            </w:r>
          </w:p>
        </w:tc>
        <w:tc>
          <w:tcPr>
            <w:tcW w:type="dxa" w:w="3504"/>
            <w:vAlign w:val="center"/>
            <w:shd w:fill="1F4E79"/>
          </w:tcPr>
          <w:p>
            <w:r/>
            <w:r>
              <w:rPr>
                <w:b/>
                <w:color w:val="FFFFFF"/>
                <w:sz w:val="18"/>
              </w:rPr>
              <w:t>Typical Evidence / Output</w:t>
            </w:r>
          </w:p>
        </w:tc>
      </w:tr>
      <w:tr>
        <w:tc>
          <w:tcPr>
            <w:tcW w:type="dxa" w:w="3504"/>
            <w:vAlign w:val="center"/>
          </w:tcPr>
          <w:p>
            <w:r/>
            <w:r>
              <w:rPr>
                <w:b/>
                <w:sz w:val="18"/>
              </w:rPr>
              <w:t>Reduced Delivery Risk</w:t>
            </w:r>
          </w:p>
        </w:tc>
        <w:tc>
          <w:tcPr>
            <w:tcW w:type="dxa" w:w="3504"/>
            <w:vAlign w:val="center"/>
          </w:tcPr>
          <w:p>
            <w:r/>
            <w:r>
              <w:rPr>
                <w:b w:val="0"/>
                <w:sz w:val="18"/>
              </w:rPr>
              <w:t>Structured governance, risk management, project controls, and early issue identification.</w:t>
            </w:r>
          </w:p>
        </w:tc>
        <w:tc>
          <w:tcPr>
            <w:tcW w:type="dxa" w:w="3504"/>
            <w:vAlign w:val="center"/>
          </w:tcPr>
          <w:p>
            <w:r/>
            <w:r>
              <w:rPr>
                <w:b w:val="0"/>
                <w:sz w:val="18"/>
              </w:rPr>
              <w:t>Plans, dashboards, registers, governance records, presentations, reports, and delivery artifacts.</w:t>
            </w:r>
          </w:p>
        </w:tc>
      </w:tr>
      <w:tr>
        <w:tc>
          <w:tcPr>
            <w:tcW w:type="dxa" w:w="3504"/>
            <w:vAlign w:val="center"/>
          </w:tcPr>
          <w:p>
            <w:r/>
            <w:r>
              <w:rPr>
                <w:b/>
                <w:sz w:val="18"/>
              </w:rPr>
              <w:t>Improved Executive Visibility</w:t>
            </w:r>
          </w:p>
        </w:tc>
        <w:tc>
          <w:tcPr>
            <w:tcW w:type="dxa" w:w="3504"/>
            <w:vAlign w:val="center"/>
          </w:tcPr>
          <w:p>
            <w:r/>
            <w:r>
              <w:rPr>
                <w:b w:val="0"/>
                <w:sz w:val="18"/>
              </w:rPr>
              <w:t>Clear dashboards, steering committee materials, KPI reporting, and decision-ready executive summaries.</w:t>
            </w:r>
          </w:p>
        </w:tc>
        <w:tc>
          <w:tcPr>
            <w:tcW w:type="dxa" w:w="3504"/>
            <w:vAlign w:val="center"/>
          </w:tcPr>
          <w:p>
            <w:r/>
            <w:r>
              <w:rPr>
                <w:b w:val="0"/>
                <w:sz w:val="18"/>
              </w:rPr>
              <w:t>Plans, dashboards, registers, governance records, presentations, reports, and delivery artifacts.</w:t>
            </w:r>
          </w:p>
        </w:tc>
      </w:tr>
      <w:tr>
        <w:tc>
          <w:tcPr>
            <w:tcW w:type="dxa" w:w="3504"/>
            <w:vAlign w:val="center"/>
          </w:tcPr>
          <w:p>
            <w:r/>
            <w:r>
              <w:rPr>
                <w:b/>
                <w:sz w:val="18"/>
              </w:rPr>
              <w:t>Faster Project Mobilization</w:t>
            </w:r>
          </w:p>
        </w:tc>
        <w:tc>
          <w:tcPr>
            <w:tcW w:type="dxa" w:w="3504"/>
            <w:vAlign w:val="center"/>
          </w:tcPr>
          <w:p>
            <w:r/>
            <w:r>
              <w:rPr>
                <w:b w:val="0"/>
                <w:sz w:val="18"/>
              </w:rPr>
              <w:t>Reusable templates, PMO assets, delivery frameworks, and proven project startup processes.</w:t>
            </w:r>
          </w:p>
        </w:tc>
        <w:tc>
          <w:tcPr>
            <w:tcW w:type="dxa" w:w="3504"/>
            <w:vAlign w:val="center"/>
          </w:tcPr>
          <w:p>
            <w:r/>
            <w:r>
              <w:rPr>
                <w:b w:val="0"/>
                <w:sz w:val="18"/>
              </w:rPr>
              <w:t>Plans, dashboards, registers, governance records, presentations, reports, and delivery artifacts.</w:t>
            </w:r>
          </w:p>
        </w:tc>
      </w:tr>
      <w:tr>
        <w:tc>
          <w:tcPr>
            <w:tcW w:type="dxa" w:w="3504"/>
            <w:vAlign w:val="center"/>
          </w:tcPr>
          <w:p>
            <w:r/>
            <w:r>
              <w:rPr>
                <w:b/>
                <w:sz w:val="18"/>
              </w:rPr>
              <w:t>Better Stakeholder Alignment</w:t>
            </w:r>
          </w:p>
        </w:tc>
        <w:tc>
          <w:tcPr>
            <w:tcW w:type="dxa" w:w="3504"/>
            <w:vAlign w:val="center"/>
          </w:tcPr>
          <w:p>
            <w:r/>
            <w:r>
              <w:rPr>
                <w:b w:val="0"/>
                <w:sz w:val="18"/>
              </w:rPr>
              <w:t>Facilitated workshops, clear communication plans, governance forums, and business/IT translation.</w:t>
            </w:r>
          </w:p>
        </w:tc>
        <w:tc>
          <w:tcPr>
            <w:tcW w:type="dxa" w:w="3504"/>
            <w:vAlign w:val="center"/>
          </w:tcPr>
          <w:p>
            <w:r/>
            <w:r>
              <w:rPr>
                <w:b w:val="0"/>
                <w:sz w:val="18"/>
              </w:rPr>
              <w:t>Plans, dashboards, registers, governance records, presentations, reports, and delivery artifacts.</w:t>
            </w:r>
          </w:p>
        </w:tc>
      </w:tr>
      <w:tr>
        <w:tc>
          <w:tcPr>
            <w:tcW w:type="dxa" w:w="3504"/>
            <w:vAlign w:val="center"/>
          </w:tcPr>
          <w:p>
            <w:r/>
            <w:r>
              <w:rPr>
                <w:b/>
                <w:sz w:val="18"/>
              </w:rPr>
              <w:t>Stronger Requirements Quality</w:t>
            </w:r>
          </w:p>
        </w:tc>
        <w:tc>
          <w:tcPr>
            <w:tcW w:type="dxa" w:w="3504"/>
            <w:vAlign w:val="center"/>
          </w:tcPr>
          <w:p>
            <w:r/>
            <w:r>
              <w:rPr>
                <w:b w:val="0"/>
                <w:sz w:val="18"/>
              </w:rPr>
              <w:t>Traceable business, functional, and non-functional requirements with acceptance criteria and validation.</w:t>
            </w:r>
          </w:p>
        </w:tc>
        <w:tc>
          <w:tcPr>
            <w:tcW w:type="dxa" w:w="3504"/>
            <w:vAlign w:val="center"/>
          </w:tcPr>
          <w:p>
            <w:r/>
            <w:r>
              <w:rPr>
                <w:b w:val="0"/>
                <w:sz w:val="18"/>
              </w:rPr>
              <w:t>Plans, dashboards, registers, governance records, presentations, reports, and delivery artifacts.</w:t>
            </w:r>
          </w:p>
        </w:tc>
      </w:tr>
      <w:tr>
        <w:tc>
          <w:tcPr>
            <w:tcW w:type="dxa" w:w="3504"/>
            <w:vAlign w:val="center"/>
          </w:tcPr>
          <w:p>
            <w:r/>
            <w:r>
              <w:rPr>
                <w:b/>
                <w:sz w:val="18"/>
              </w:rPr>
              <w:t>Improved Security and Compliance</w:t>
            </w:r>
          </w:p>
        </w:tc>
        <w:tc>
          <w:tcPr>
            <w:tcW w:type="dxa" w:w="3504"/>
            <w:vAlign w:val="center"/>
          </w:tcPr>
          <w:p>
            <w:r/>
            <w:r>
              <w:rPr>
                <w:b w:val="0"/>
                <w:sz w:val="18"/>
              </w:rPr>
              <w:t>SA&amp;A coordination, privacy alignment, RBAC/IAM models, security governance, and risk controls.</w:t>
            </w:r>
          </w:p>
        </w:tc>
        <w:tc>
          <w:tcPr>
            <w:tcW w:type="dxa" w:w="3504"/>
            <w:vAlign w:val="center"/>
          </w:tcPr>
          <w:p>
            <w:r/>
            <w:r>
              <w:rPr>
                <w:b w:val="0"/>
                <w:sz w:val="18"/>
              </w:rPr>
              <w:t>Plans, dashboards, registers, governance records, presentations, reports, and delivery artifacts.</w:t>
            </w:r>
          </w:p>
        </w:tc>
      </w:tr>
      <w:tr>
        <w:tc>
          <w:tcPr>
            <w:tcW w:type="dxa" w:w="3504"/>
            <w:vAlign w:val="center"/>
          </w:tcPr>
          <w:p>
            <w:r/>
            <w:r>
              <w:rPr>
                <w:b/>
                <w:sz w:val="18"/>
              </w:rPr>
              <w:t>Higher Adoption and Readiness</w:t>
            </w:r>
          </w:p>
        </w:tc>
        <w:tc>
          <w:tcPr>
            <w:tcW w:type="dxa" w:w="3504"/>
            <w:vAlign w:val="center"/>
          </w:tcPr>
          <w:p>
            <w:r/>
            <w:r>
              <w:rPr>
                <w:b w:val="0"/>
                <w:sz w:val="18"/>
              </w:rPr>
              <w:t>Change management, training support, operational readiness, and knowledge transfer.</w:t>
            </w:r>
          </w:p>
        </w:tc>
        <w:tc>
          <w:tcPr>
            <w:tcW w:type="dxa" w:w="3504"/>
            <w:vAlign w:val="center"/>
          </w:tcPr>
          <w:p>
            <w:r/>
            <w:r>
              <w:rPr>
                <w:b w:val="0"/>
                <w:sz w:val="18"/>
              </w:rPr>
              <w:t>Plans, dashboards, registers, governance records, presentations, reports, and delivery artifacts.</w:t>
            </w:r>
          </w:p>
        </w:tc>
      </w:tr>
      <w:tr>
        <w:tc>
          <w:tcPr>
            <w:tcW w:type="dxa" w:w="3504"/>
            <w:vAlign w:val="center"/>
          </w:tcPr>
          <w:p>
            <w:r/>
            <w:r>
              <w:rPr>
                <w:b/>
                <w:sz w:val="18"/>
              </w:rPr>
              <w:t>More Reliable Delivery</w:t>
            </w:r>
          </w:p>
        </w:tc>
        <w:tc>
          <w:tcPr>
            <w:tcW w:type="dxa" w:w="3504"/>
            <w:vAlign w:val="center"/>
          </w:tcPr>
          <w:p>
            <w:r/>
            <w:r>
              <w:rPr>
                <w:b w:val="0"/>
                <w:sz w:val="18"/>
              </w:rPr>
              <w:t>PMBOK, Agile, Scrum, Kanban, ITIL, TOGAF, and hybrid delivery practices tailored to each client.</w:t>
            </w:r>
          </w:p>
        </w:tc>
        <w:tc>
          <w:tcPr>
            <w:tcW w:type="dxa" w:w="3504"/>
            <w:vAlign w:val="center"/>
          </w:tcPr>
          <w:p>
            <w:r/>
            <w:r>
              <w:rPr>
                <w:b w:val="0"/>
                <w:sz w:val="18"/>
              </w:rPr>
              <w:t>Plans, dashboards, registers, governance records, presentations, reports, and delivery artifacts.</w:t>
            </w:r>
          </w:p>
        </w:tc>
      </w:tr>
      <w:tr>
        <w:tc>
          <w:tcPr>
            <w:tcW w:type="dxa" w:w="3504"/>
            <w:vAlign w:val="center"/>
          </w:tcPr>
          <w:p>
            <w:r/>
            <w:r>
              <w:rPr>
                <w:b/>
                <w:sz w:val="18"/>
              </w:rPr>
              <w:t>Vendor and Team Coordination</w:t>
            </w:r>
          </w:p>
        </w:tc>
        <w:tc>
          <w:tcPr>
            <w:tcW w:type="dxa" w:w="3504"/>
            <w:vAlign w:val="center"/>
          </w:tcPr>
          <w:p>
            <w:r/>
            <w:r>
              <w:rPr>
                <w:b w:val="0"/>
                <w:sz w:val="18"/>
              </w:rPr>
              <w:t>Improved coordination across vendors, cloud teams, architects, developers, security, operations, and business stakeholders.</w:t>
            </w:r>
          </w:p>
        </w:tc>
        <w:tc>
          <w:tcPr>
            <w:tcW w:type="dxa" w:w="3504"/>
            <w:vAlign w:val="center"/>
          </w:tcPr>
          <w:p>
            <w:r/>
            <w:r>
              <w:rPr>
                <w:b w:val="0"/>
                <w:sz w:val="18"/>
              </w:rPr>
              <w:t>Plans, dashboards, registers, governance records, presentations, reports, and delivery artifacts.</w:t>
            </w:r>
          </w:p>
        </w:tc>
      </w:tr>
      <w:tr>
        <w:tc>
          <w:tcPr>
            <w:tcW w:type="dxa" w:w="3504"/>
            <w:vAlign w:val="center"/>
          </w:tcPr>
          <w:p>
            <w:r/>
            <w:r>
              <w:rPr>
                <w:b/>
                <w:sz w:val="18"/>
              </w:rPr>
              <w:t>Business Value Realization</w:t>
            </w:r>
          </w:p>
        </w:tc>
        <w:tc>
          <w:tcPr>
            <w:tcW w:type="dxa" w:w="3504"/>
            <w:vAlign w:val="center"/>
          </w:tcPr>
          <w:p>
            <w:r/>
            <w:r>
              <w:rPr>
                <w:b w:val="0"/>
                <w:sz w:val="18"/>
              </w:rPr>
              <w:t>Focus on outcomes, measurable benefits, performance indicators, and post-implementation improvement.</w:t>
            </w:r>
          </w:p>
        </w:tc>
        <w:tc>
          <w:tcPr>
            <w:tcW w:type="dxa" w:w="3504"/>
            <w:vAlign w:val="center"/>
          </w:tcPr>
          <w:p>
            <w:r/>
            <w:r>
              <w:rPr>
                <w:b w:val="0"/>
                <w:sz w:val="18"/>
              </w:rPr>
              <w:t>Plans, dashboards, registers, governance records, presentations, reports, and delivery artifacts.</w:t>
            </w:r>
          </w:p>
        </w:tc>
      </w:tr>
    </w:tbl>
    <w:p>
      <w:pPr>
        <w:pStyle w:val="Heading2"/>
      </w:pPr>
      <w:r>
        <w:rPr>
          <w:rFonts w:ascii="Arial" w:hAnsi="Arial"/>
        </w:rPr>
        <w:t>Client Value Proposition</w:t>
      </w:r>
    </w:p>
    <w:p>
      <w:pPr>
        <w:pStyle w:val="ListBullet"/>
      </w:pPr>
      <w:r>
        <w:rPr>
          <w:rFonts w:ascii="Arial" w:hAnsi="Arial"/>
        </w:rPr>
        <w:t>Translate complex technical initiatives into clear executive decisions.</w:t>
      </w:r>
    </w:p>
    <w:p>
      <w:pPr>
        <w:pStyle w:val="ListBullet"/>
      </w:pPr>
      <w:r>
        <w:rPr>
          <w:rFonts w:ascii="Arial" w:hAnsi="Arial"/>
        </w:rPr>
        <w:t>Bridge business, technology, security, architecture, and operational teams.</w:t>
      </w:r>
    </w:p>
    <w:p>
      <w:pPr>
        <w:pStyle w:val="ListBullet"/>
      </w:pPr>
      <w:r>
        <w:rPr>
          <w:rFonts w:ascii="Arial" w:hAnsi="Arial"/>
        </w:rPr>
        <w:t>Reduce risk through disciplined project controls and transparent governance.</w:t>
      </w:r>
    </w:p>
    <w:p>
      <w:pPr>
        <w:pStyle w:val="ListBullet"/>
      </w:pPr>
      <w:r>
        <w:rPr>
          <w:rFonts w:ascii="Arial" w:hAnsi="Arial"/>
        </w:rPr>
        <w:t>Accelerate transformation using practical methodologies and real delivery experience.</w:t>
      </w:r>
    </w:p>
    <w:p>
      <w:pPr>
        <w:pStyle w:val="ListBullet"/>
      </w:pPr>
      <w:r>
        <w:rPr>
          <w:rFonts w:ascii="Arial" w:hAnsi="Arial"/>
        </w:rPr>
        <w:t>Provide senior leadership without requiring a permanent executive appointment.</w:t>
      </w:r>
    </w:p>
    <w:p>
      <w:pPr>
        <w:pStyle w:val="ListBullet"/>
      </w:pPr>
      <w:r>
        <w:rPr>
          <w:rFonts w:ascii="Arial" w:hAnsi="Arial"/>
        </w:rPr>
        <w:t>Enable remote-first consulting delivery with travel for key milestones as required.</w:t>
      </w:r>
    </w:p>
    <w:tbl>
      <w:tblPr>
        <w:tblW w:type="auto" w:w="0"/>
        <w:jc w:val="center"/>
        <w:tblLook w:firstColumn="1" w:firstRow="1" w:lastColumn="0" w:lastRow="0" w:noHBand="0" w:noVBand="1" w:val="04A0"/>
      </w:tblPr>
      <w:tblGrid>
        <w:gridCol w:w="10512"/>
      </w:tblGrid>
      <w:tr>
        <w:tc>
          <w:tcPr>
            <w:tcW w:type="dxa" w:w="10512"/>
            <w:shd w:fill="EAF2F8"/>
          </w:tcPr>
          <w:p>
            <w:r>
              <w:rPr>
                <w:b/>
                <w:color w:val="1F4E79"/>
                <w:sz w:val="22"/>
              </w:rPr>
              <w:t>Outcome-Oriented Consulting</w:t>
              <w:br/>
            </w:r>
            <w:r>
              <w:rPr>
                <w:sz w:val="18"/>
              </w:rPr>
              <w:t>PMP-IT Consulting emphasizes practical outcomes: clear governance, aligned stakeholders, secure solutions, modernized platforms, measurable delivery progress, and executive confidence.</w:t>
            </w:r>
          </w:p>
        </w:tc>
      </w:tr>
    </w:tbl>
    <w:p/>
    <w:p>
      <w:r>
        <w:rPr>
          <w:rFonts w:ascii="Arial" w:hAnsi="Arial"/>
        </w:rPr>
        <w:br w:type="page"/>
      </w:r>
    </w:p>
    <w:p>
      <w:pPr>
        <w:pStyle w:val="Heading1"/>
      </w:pPr>
      <w:r>
        <w:rPr>
          <w:rFonts w:ascii="Arial" w:hAnsi="Arial"/>
        </w:rPr>
        <w:t>4. Contact Information</w:t>
      </w:r>
    </w:p>
    <w:p>
      <w:r>
        <w:rPr>
          <w:rFonts w:ascii="Arial" w:hAnsi="Arial"/>
        </w:rPr>
        <w:t>For consulting engagements, executive advisory, project delivery support, PMO consulting, business analysis, cloud, cybersecurity, data centre modernization, and enterprise application delivery, please contact PMP-IT Consulting.</w:t>
      </w:r>
    </w:p>
    <w:tbl>
      <w:tblPr>
        <w:tblStyle w:val="TableGrid"/>
        <w:tblW w:type="auto" w:w="0"/>
        <w:tblLook w:firstColumn="1" w:firstRow="1" w:lastColumn="0" w:lastRow="0" w:noHBand="0" w:noVBand="1" w:val="04A0"/>
      </w:tblPr>
      <w:tblGrid>
        <w:gridCol w:w="5256"/>
        <w:gridCol w:w="5256"/>
      </w:tblGrid>
      <w:tr>
        <w:tc>
          <w:tcPr>
            <w:tcW w:type="dxa" w:w="5256"/>
            <w:vAlign w:val="center"/>
            <w:shd w:fill="1F4E79"/>
          </w:tcPr>
          <w:p>
            <w:r/>
            <w:r>
              <w:rPr>
                <w:b/>
                <w:color w:val="FFFFFF"/>
                <w:sz w:val="18"/>
              </w:rPr>
              <w:t>Contact Field</w:t>
            </w:r>
          </w:p>
        </w:tc>
        <w:tc>
          <w:tcPr>
            <w:tcW w:type="dxa" w:w="5256"/>
            <w:vAlign w:val="center"/>
            <w:shd w:fill="1F4E79"/>
          </w:tcPr>
          <w:p>
            <w:r/>
            <w:r>
              <w:rPr>
                <w:b/>
                <w:color w:val="FFFFFF"/>
                <w:sz w:val="18"/>
              </w:rPr>
              <w:t>Details</w:t>
            </w:r>
          </w:p>
        </w:tc>
      </w:tr>
      <w:tr>
        <w:tc>
          <w:tcPr>
            <w:tcW w:type="dxa" w:w="5256"/>
            <w:vAlign w:val="center"/>
          </w:tcPr>
          <w:p>
            <w:r/>
            <w:r>
              <w:rPr>
                <w:b/>
                <w:sz w:val="18"/>
              </w:rPr>
              <w:t>Name</w:t>
            </w:r>
          </w:p>
        </w:tc>
        <w:tc>
          <w:tcPr>
            <w:tcW w:type="dxa" w:w="5256"/>
            <w:vAlign w:val="center"/>
          </w:tcPr>
          <w:p>
            <w:r/>
            <w:r>
              <w:rPr>
                <w:b w:val="0"/>
                <w:sz w:val="18"/>
              </w:rPr>
              <w:t>Moufid (Mike) Jarada, PhD(c)</w:t>
            </w:r>
          </w:p>
        </w:tc>
      </w:tr>
      <w:tr>
        <w:tc>
          <w:tcPr>
            <w:tcW w:type="dxa" w:w="5256"/>
            <w:vAlign w:val="center"/>
          </w:tcPr>
          <w:p>
            <w:r/>
            <w:r>
              <w:rPr>
                <w:b/>
                <w:sz w:val="18"/>
              </w:rPr>
              <w:t>Title</w:t>
            </w:r>
          </w:p>
        </w:tc>
        <w:tc>
          <w:tcPr>
            <w:tcW w:type="dxa" w:w="5256"/>
            <w:vAlign w:val="center"/>
          </w:tcPr>
          <w:p>
            <w:r/>
            <w:r>
              <w:rPr>
                <w:b w:val="0"/>
                <w:sz w:val="18"/>
              </w:rPr>
              <w:t>Senior IT Project Executive | Project Director</w:t>
            </w:r>
          </w:p>
        </w:tc>
      </w:tr>
      <w:tr>
        <w:tc>
          <w:tcPr>
            <w:tcW w:type="dxa" w:w="5256"/>
            <w:vAlign w:val="center"/>
          </w:tcPr>
          <w:p>
            <w:r/>
            <w:r>
              <w:rPr>
                <w:b/>
                <w:sz w:val="18"/>
              </w:rPr>
              <w:t>Company</w:t>
            </w:r>
          </w:p>
        </w:tc>
        <w:tc>
          <w:tcPr>
            <w:tcW w:type="dxa" w:w="5256"/>
            <w:vAlign w:val="center"/>
          </w:tcPr>
          <w:p>
            <w:r/>
            <w:r>
              <w:rPr>
                <w:b w:val="0"/>
                <w:sz w:val="18"/>
              </w:rPr>
              <w:t>PMP-IT Consulting</w:t>
            </w:r>
          </w:p>
        </w:tc>
      </w:tr>
      <w:tr>
        <w:tc>
          <w:tcPr>
            <w:tcW w:type="dxa" w:w="5256"/>
            <w:vAlign w:val="center"/>
          </w:tcPr>
          <w:p>
            <w:r/>
            <w:r>
              <w:rPr>
                <w:b/>
                <w:sz w:val="18"/>
              </w:rPr>
              <w:t>Phone</w:t>
            </w:r>
          </w:p>
        </w:tc>
        <w:tc>
          <w:tcPr>
            <w:tcW w:type="dxa" w:w="5256"/>
            <w:vAlign w:val="center"/>
          </w:tcPr>
          <w:p>
            <w:r/>
            <w:r>
              <w:rPr>
                <w:b w:val="0"/>
                <w:sz w:val="18"/>
              </w:rPr>
              <w:t>343-204-6050 / 613-314-7747</w:t>
            </w:r>
          </w:p>
        </w:tc>
      </w:tr>
      <w:tr>
        <w:tc>
          <w:tcPr>
            <w:tcW w:type="dxa" w:w="5256"/>
            <w:vAlign w:val="center"/>
          </w:tcPr>
          <w:p>
            <w:r/>
            <w:r>
              <w:rPr>
                <w:b/>
                <w:sz w:val="18"/>
              </w:rPr>
              <w:t>Email</w:t>
            </w:r>
          </w:p>
        </w:tc>
        <w:tc>
          <w:tcPr>
            <w:tcW w:type="dxa" w:w="5256"/>
            <w:vAlign w:val="center"/>
          </w:tcPr>
          <w:p>
            <w:r/>
            <w:r>
              <w:rPr>
                <w:b w:val="0"/>
                <w:sz w:val="18"/>
              </w:rPr>
              <w:t>email@pmp-it.com</w:t>
            </w:r>
          </w:p>
        </w:tc>
      </w:tr>
      <w:tr>
        <w:tc>
          <w:tcPr>
            <w:tcW w:type="dxa" w:w="5256"/>
            <w:vAlign w:val="center"/>
          </w:tcPr>
          <w:p>
            <w:r/>
            <w:r>
              <w:rPr>
                <w:b/>
                <w:sz w:val="18"/>
              </w:rPr>
              <w:t>Website</w:t>
            </w:r>
          </w:p>
        </w:tc>
        <w:tc>
          <w:tcPr>
            <w:tcW w:type="dxa" w:w="5256"/>
            <w:vAlign w:val="center"/>
          </w:tcPr>
          <w:p>
            <w:r/>
            <w:r>
              <w:rPr>
                <w:b w:val="0"/>
                <w:sz w:val="18"/>
              </w:rPr>
              <w:t>www.pmp-it.ca</w:t>
            </w:r>
          </w:p>
        </w:tc>
      </w:tr>
      <w:tr>
        <w:tc>
          <w:tcPr>
            <w:tcW w:type="dxa" w:w="5256"/>
            <w:vAlign w:val="center"/>
          </w:tcPr>
          <w:p>
            <w:r/>
            <w:r>
              <w:rPr>
                <w:b/>
                <w:sz w:val="18"/>
              </w:rPr>
              <w:t>Location</w:t>
            </w:r>
          </w:p>
        </w:tc>
        <w:tc>
          <w:tcPr>
            <w:tcW w:type="dxa" w:w="5256"/>
            <w:vAlign w:val="center"/>
          </w:tcPr>
          <w:p>
            <w:r/>
            <w:r>
              <w:rPr>
                <w:b w:val="0"/>
                <w:sz w:val="18"/>
              </w:rPr>
              <w:t>Ottawa, Ontario, Canada</w:t>
            </w:r>
          </w:p>
        </w:tc>
      </w:tr>
      <w:tr>
        <w:tc>
          <w:tcPr>
            <w:tcW w:type="dxa" w:w="5256"/>
            <w:vAlign w:val="center"/>
          </w:tcPr>
          <w:p>
            <w:r/>
            <w:r>
              <w:rPr>
                <w:b/>
                <w:sz w:val="18"/>
              </w:rPr>
              <w:t>Languages</w:t>
            </w:r>
          </w:p>
        </w:tc>
        <w:tc>
          <w:tcPr>
            <w:tcW w:type="dxa" w:w="5256"/>
            <w:vAlign w:val="center"/>
          </w:tcPr>
          <w:p>
            <w:r/>
            <w:r>
              <w:rPr>
                <w:b w:val="0"/>
                <w:sz w:val="18"/>
              </w:rPr>
              <w:t>English, French, Arabic</w:t>
            </w:r>
          </w:p>
        </w:tc>
      </w:tr>
      <w:tr>
        <w:tc>
          <w:tcPr>
            <w:tcW w:type="dxa" w:w="5256"/>
            <w:vAlign w:val="center"/>
          </w:tcPr>
          <w:p>
            <w:r/>
            <w:r>
              <w:rPr>
                <w:b/>
                <w:sz w:val="18"/>
              </w:rPr>
              <w:t>Security Clearance</w:t>
            </w:r>
          </w:p>
        </w:tc>
        <w:tc>
          <w:tcPr>
            <w:tcW w:type="dxa" w:w="5256"/>
            <w:vAlign w:val="center"/>
          </w:tcPr>
          <w:p>
            <w:r/>
            <w:r>
              <w:rPr>
                <w:b w:val="0"/>
                <w:sz w:val="18"/>
              </w:rPr>
              <w:t>Government of Canada Secret Level II</w:t>
            </w:r>
          </w:p>
        </w:tc>
      </w:tr>
      <w:tr>
        <w:tc>
          <w:tcPr>
            <w:tcW w:type="dxa" w:w="5256"/>
            <w:vAlign w:val="center"/>
          </w:tcPr>
          <w:p>
            <w:r/>
            <w:r>
              <w:rPr>
                <w:b/>
                <w:sz w:val="18"/>
              </w:rPr>
              <w:t>Engagement Availability</w:t>
            </w:r>
          </w:p>
        </w:tc>
        <w:tc>
          <w:tcPr>
            <w:tcW w:type="dxa" w:w="5256"/>
            <w:vAlign w:val="center"/>
          </w:tcPr>
          <w:p>
            <w:r/>
            <w:r>
              <w:rPr>
                <w:b w:val="0"/>
                <w:sz w:val="18"/>
              </w:rPr>
              <w:t>Remote-first consulting with occasional travel as required</w:t>
            </w:r>
          </w:p>
        </w:tc>
      </w:tr>
    </w:tbl>
    <w:p>
      <w:pPr>
        <w:pStyle w:val="Heading2"/>
      </w:pPr>
      <w:r>
        <w:rPr>
          <w:rFonts w:ascii="Arial" w:hAnsi="Arial"/>
        </w:rPr>
        <w:t>Primary Consulting Areas</w:t>
      </w:r>
    </w:p>
    <w:p>
      <w:pPr>
        <w:pStyle w:val="ListBullet"/>
      </w:pPr>
      <w:r>
        <w:rPr>
          <w:rFonts w:ascii="Arial" w:hAnsi="Arial"/>
        </w:rPr>
        <w:t>Executive Advisory</w:t>
      </w:r>
    </w:p>
    <w:p>
      <w:pPr>
        <w:pStyle w:val="ListBullet"/>
      </w:pPr>
      <w:r>
        <w:rPr>
          <w:rFonts w:ascii="Arial" w:hAnsi="Arial"/>
        </w:rPr>
        <w:t>Project &amp; Program Management</w:t>
      </w:r>
    </w:p>
    <w:p>
      <w:pPr>
        <w:pStyle w:val="ListBullet"/>
      </w:pPr>
      <w:r>
        <w:rPr>
          <w:rFonts w:ascii="Arial" w:hAnsi="Arial"/>
        </w:rPr>
        <w:t>PMO Consulting</w:t>
      </w:r>
    </w:p>
    <w:p>
      <w:pPr>
        <w:pStyle w:val="ListBullet"/>
      </w:pPr>
      <w:r>
        <w:rPr>
          <w:rFonts w:ascii="Arial" w:hAnsi="Arial"/>
        </w:rPr>
        <w:t>Business Analysis</w:t>
      </w:r>
    </w:p>
    <w:p>
      <w:pPr>
        <w:pStyle w:val="ListBullet"/>
      </w:pPr>
      <w:r>
        <w:rPr>
          <w:rFonts w:ascii="Arial" w:hAnsi="Arial"/>
        </w:rPr>
        <w:t>Digital Transformation</w:t>
      </w:r>
    </w:p>
    <w:p>
      <w:pPr>
        <w:pStyle w:val="ListBullet"/>
      </w:pPr>
      <w:r>
        <w:rPr>
          <w:rFonts w:ascii="Arial" w:hAnsi="Arial"/>
        </w:rPr>
        <w:t>Enterprise Architecture</w:t>
      </w:r>
    </w:p>
    <w:p>
      <w:pPr>
        <w:pStyle w:val="ListBullet"/>
      </w:pPr>
      <w:r>
        <w:rPr>
          <w:rFonts w:ascii="Arial" w:hAnsi="Arial"/>
        </w:rPr>
        <w:t>Cloud (Azure &amp; AWS)</w:t>
      </w:r>
    </w:p>
    <w:p>
      <w:pPr>
        <w:pStyle w:val="ListBullet"/>
      </w:pPr>
      <w:r>
        <w:rPr>
          <w:rFonts w:ascii="Arial" w:hAnsi="Arial"/>
        </w:rPr>
        <w:t>Cybersecurity</w:t>
      </w:r>
    </w:p>
    <w:p>
      <w:pPr>
        <w:pStyle w:val="ListBullet"/>
      </w:pPr>
      <w:r>
        <w:rPr>
          <w:rFonts w:ascii="Arial" w:hAnsi="Arial"/>
        </w:rPr>
        <w:t>Data Centre &amp; Infrastructure</w:t>
      </w:r>
    </w:p>
    <w:p>
      <w:pPr>
        <w:pStyle w:val="ListBullet"/>
      </w:pPr>
      <w:r>
        <w:rPr>
          <w:rFonts w:ascii="Arial" w:hAnsi="Arial"/>
        </w:rPr>
        <w:t>Microsoft, Salesforce and ServiceNow Delivery</w:t>
      </w:r>
    </w:p>
    <w:p>
      <w:pPr>
        <w:pStyle w:val="Heading2"/>
      </w:pPr>
      <w:r>
        <w:rPr>
          <w:rFonts w:ascii="Arial" w:hAnsi="Arial"/>
        </w:rPr>
        <w:t>Professional Credentials</w:t>
      </w:r>
    </w:p>
    <w:p>
      <w:r>
        <w:rPr>
          <w:rFonts w:ascii="Arial" w:hAnsi="Arial"/>
        </w:rPr>
        <w:t>PMP | PMI-ACP | TOGAF | CISSP | CCSP | Certified ScrumMaster (CSM) | ITIL | I.S.P. | ITCP/IP3P | Cloud Computing Strategy | Enterprise Architecture</w:t>
      </w:r>
    </w:p>
    <w:sectPr w:rsidR="00FC693F" w:rsidRPr="0006063C" w:rsidSect="00034616">
      <w:footerReference w:type="default" r:id="rId9"/>
      <w:pgSz w:w="12240" w:h="15840"/>
      <w:pgMar w:top="792" w:right="864" w:bottom="7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PMP-IT Consulting | Executive Capability Statement | Confidential Business Development Material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3C3C3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PMP-IT Engagement Models Projects Client Benefits Contact</dc:title>
  <dc:subject>PMP-IT Engagement Models Projects Client Benefits Contact</dc:subject>
  <dc:creator>MOUFID JARADA</dc:creator>
  <cp:keywords/>
  <dc:description>PMP-IT Engagement Models Projects Client Benefits Contact</dc:description>
  <cp:lastModifiedBy/>
  <cp:revision>1</cp:revision>
  <dcterms:created xsi:type="dcterms:W3CDTF">2013-12-23T23:15:00Z</dcterms:created>
  <dcterms:modified xsi:type="dcterms:W3CDTF">2013-12-23T23:15:00Z</dcterms:modified>
  <cp:category/>
</cp:coreProperties>
</file>