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03864"/>
          <w:sz w:val="52"/>
        </w:rPr>
        <w:t>PMP-IT CONSULTING</w:t>
      </w:r>
    </w:p>
    <w:p>
      <w:pPr>
        <w:jc w:val="center"/>
      </w:pPr>
      <w:r>
        <w:rPr>
          <w:b/>
          <w:color w:val="1F4E79"/>
          <w:sz w:val="38"/>
        </w:rPr>
        <w:t>Technology Portfolio, Capability Matrices &amp; Delivery Methodology</w:t>
      </w:r>
    </w:p>
    <w:p>
      <w:pPr>
        <w:jc w:val="center"/>
      </w:pPr>
      <w:r>
        <w:rPr>
          <w:sz w:val="26"/>
        </w:rPr>
        <w:t>Executive Capability Statement Section</w:t>
      </w:r>
    </w:p>
    <w:p/>
    <w:tbl>
      <w:tblPr>
        <w:tblStyle w:val="TableGrid"/>
        <w:tblW w:type="auto" w:w="0"/>
        <w:tblLook w:firstColumn="1" w:firstRow="1" w:lastColumn="0" w:lastRow="0" w:noHBand="0" w:noVBand="1" w:val="04A0"/>
      </w:tblPr>
      <w:tblGrid>
        <w:gridCol w:w="10368"/>
      </w:tblGrid>
      <w:tr>
        <w:tc>
          <w:tcPr>
            <w:tcW w:type="dxa" w:w="10368"/>
            <w:shd w:fill="D9EAF7"/>
          </w:tcPr>
          <w:p>
            <w:pPr>
              <w:jc w:val="center"/>
            </w:pPr>
            <w:r/>
            <w:r>
              <w:rPr>
                <w:b/>
                <w:color w:val="203864"/>
                <w:sz w:val="32"/>
              </w:rPr>
              <w:t>Moufid (Mike) Jarada, PhD(c)</w:t>
              <w:br/>
            </w:r>
            <w:r>
              <w:rPr>
                <w:sz w:val="24"/>
              </w:rPr>
              <w:t>Senior IT Project Executive | Project Director</w:t>
              <w:br/>
            </w:r>
            <w:r>
              <w:rPr>
                <w:sz w:val="20"/>
              </w:rPr>
              <w:t>25+ Years Government of Canada IT Leadership | PMP | PMI-ACP | TOGAF | CISSP | CCSP | CSM | ITIL</w:t>
            </w:r>
          </w:p>
        </w:tc>
      </w:tr>
    </w:tbl>
    <w:p/>
    <w:p>
      <w:pPr>
        <w:jc w:val="center"/>
      </w:pPr>
      <w:r>
        <w:t>This document provides an executive-level summary of PMP-IT Consulting technology capabilities, consulting matrices, and delivery methodology. It is designed for client proposals, capability statements, LinkedIn services, executive presentations, and consulting engagements.</w:t>
      </w:r>
    </w:p>
    <w:p>
      <w:r>
        <w:br w:type="page"/>
      </w:r>
    </w:p>
    <w:p>
      <w:pPr>
        <w:pStyle w:val="Heading1"/>
      </w:pPr>
      <w:r>
        <w:rPr>
          <w:color w:val="203864"/>
        </w:rPr>
        <w:t>1. Technology Portfolio</w:t>
      </w:r>
    </w:p>
    <w:p>
      <w:r>
        <w:t>PMP-IT Consulting provides broad technology leadership and delivery oversight across enterprise applications, cloud platforms, cybersecurity, data centre infrastructure, networking, Microsoft technologies, DevOps, and Government of Canada digital transformation environments. The portfolio below reflects practical project leadership, governance, stakeholder management, and delivery experience across complex public-sector environments.</w:t>
      </w:r>
    </w:p>
    <w:tbl>
      <w:tblPr>
        <w:tblStyle w:val="TableGrid"/>
        <w:tblW w:type="auto" w:w="0"/>
        <w:jc w:val="center"/>
        <w:tblLook w:firstColumn="1" w:firstRow="1" w:lastColumn="0" w:lastRow="0" w:noHBand="0" w:noVBand="1" w:val="04A0"/>
      </w:tblPr>
      <w:tblGrid>
        <w:gridCol w:w="2074"/>
        <w:gridCol w:w="2074"/>
        <w:gridCol w:w="2074"/>
        <w:gridCol w:w="2074"/>
        <w:gridCol w:w="2074"/>
      </w:tblGrid>
      <w:tr>
        <w:tc>
          <w:tcPr>
            <w:tcW w:type="dxa" w:w="2232"/>
            <w:vAlign w:val="center"/>
            <w:shd w:fill="1F4E79"/>
          </w:tcPr>
          <w:p>
            <w:r/>
            <w:r>
              <w:rPr>
                <w:b/>
                <w:color w:val="FFFFFF"/>
                <w:sz w:val="18"/>
              </w:rPr>
              <w:t>Technology / Platform</w:t>
            </w:r>
          </w:p>
        </w:tc>
        <w:tc>
          <w:tcPr>
            <w:tcW w:type="dxa" w:w="1080"/>
            <w:vAlign w:val="center"/>
            <w:shd w:fill="1F4E79"/>
          </w:tcPr>
          <w:p>
            <w:r/>
            <w:r>
              <w:rPr>
                <w:b/>
                <w:color w:val="FFFFFF"/>
                <w:sz w:val="18"/>
              </w:rPr>
              <w:t>Experience</w:t>
            </w:r>
          </w:p>
        </w:tc>
        <w:tc>
          <w:tcPr>
            <w:tcW w:type="dxa" w:w="1368"/>
            <w:vAlign w:val="center"/>
            <w:shd w:fill="1F4E79"/>
          </w:tcPr>
          <w:p>
            <w:r/>
            <w:r>
              <w:rPr>
                <w:b/>
                <w:color w:val="FFFFFF"/>
                <w:sz w:val="18"/>
              </w:rPr>
              <w:t>Level</w:t>
            </w:r>
          </w:p>
        </w:tc>
        <w:tc>
          <w:tcPr>
            <w:tcW w:type="dxa" w:w="4320"/>
            <w:vAlign w:val="center"/>
            <w:shd w:fill="1F4E79"/>
          </w:tcPr>
          <w:p>
            <w:r/>
            <w:r>
              <w:rPr>
                <w:b/>
                <w:color w:val="FFFFFF"/>
                <w:sz w:val="18"/>
              </w:rPr>
              <w:t>Capability Description</w:t>
            </w:r>
          </w:p>
        </w:tc>
        <w:tc>
          <w:tcPr>
            <w:tcW w:type="dxa" w:w="2088"/>
            <w:vAlign w:val="center"/>
            <w:shd w:fill="1F4E79"/>
          </w:tcPr>
          <w:p>
            <w:r/>
            <w:r>
              <w:rPr>
                <w:b/>
                <w:color w:val="FFFFFF"/>
                <w:sz w:val="18"/>
              </w:rPr>
              <w:t>Representative Experience</w:t>
            </w:r>
          </w:p>
        </w:tc>
      </w:tr>
      <w:tr>
        <w:tc>
          <w:tcPr>
            <w:tcW w:type="dxa" w:w="2232"/>
            <w:vAlign w:val="center"/>
            <w:shd w:fill="F7FBFF"/>
          </w:tcPr>
          <w:p>
            <w:r/>
            <w:r>
              <w:rPr>
                <w:b w:val="0"/>
                <w:sz w:val="18"/>
              </w:rPr>
              <w:t>Microsoft Azure</w:t>
            </w:r>
          </w:p>
        </w:tc>
        <w:tc>
          <w:tcPr>
            <w:tcW w:type="dxa" w:w="1080"/>
            <w:vAlign w:val="center"/>
            <w:shd w:fill="F7FBFF"/>
          </w:tcPr>
          <w:p>
            <w:r/>
            <w:r>
              <w:rPr>
                <w:b w:val="0"/>
                <w:sz w:val="18"/>
              </w:rPr>
              <w:t>8+ yrs</w:t>
            </w:r>
          </w:p>
        </w:tc>
        <w:tc>
          <w:tcPr>
            <w:tcW w:type="dxa" w:w="1368"/>
            <w:vAlign w:val="center"/>
            <w:shd w:fill="F7FBFF"/>
          </w:tcPr>
          <w:p>
            <w:r/>
            <w:r>
              <w:rPr>
                <w:b w:val="0"/>
                <w:sz w:val="18"/>
              </w:rPr>
              <w:t>Advanced</w:t>
            </w:r>
          </w:p>
        </w:tc>
        <w:tc>
          <w:tcPr>
            <w:tcW w:type="dxa" w:w="4320"/>
            <w:vAlign w:val="center"/>
            <w:shd w:fill="F7FBFF"/>
          </w:tcPr>
          <w:p>
            <w:r/>
            <w:r>
              <w:rPr>
                <w:b w:val="0"/>
                <w:sz w:val="18"/>
              </w:rPr>
              <w:t>Cloud modernization, governance, migration planning, hybrid cloud integration, cloud security and executive delivery oversight.</w:t>
            </w:r>
          </w:p>
        </w:tc>
        <w:tc>
          <w:tcPr>
            <w:tcW w:type="dxa" w:w="2088"/>
            <w:vAlign w:val="center"/>
            <w:shd w:fill="F7FBFF"/>
          </w:tcPr>
          <w:p>
            <w:r/>
            <w:r>
              <w:rPr>
                <w:b w:val="0"/>
                <w:sz w:val="18"/>
              </w:rPr>
              <w:t>ECCC, ACOA, SSC</w:t>
            </w:r>
          </w:p>
        </w:tc>
      </w:tr>
      <w:tr>
        <w:tc>
          <w:tcPr>
            <w:tcW w:type="dxa" w:w="2232"/>
            <w:vAlign w:val="center"/>
          </w:tcPr>
          <w:p>
            <w:r/>
            <w:r>
              <w:rPr>
                <w:b w:val="0"/>
                <w:sz w:val="18"/>
              </w:rPr>
              <w:t>Amazon Web Services (AWS)</w:t>
            </w:r>
          </w:p>
        </w:tc>
        <w:tc>
          <w:tcPr>
            <w:tcW w:type="dxa" w:w="1080"/>
            <w:vAlign w:val="center"/>
          </w:tcPr>
          <w:p>
            <w:r/>
            <w:r>
              <w:rPr>
                <w:b w:val="0"/>
                <w:sz w:val="18"/>
              </w:rPr>
              <w:t>7+ yrs</w:t>
            </w:r>
          </w:p>
        </w:tc>
        <w:tc>
          <w:tcPr>
            <w:tcW w:type="dxa" w:w="1368"/>
            <w:vAlign w:val="center"/>
          </w:tcPr>
          <w:p>
            <w:r/>
            <w:r>
              <w:rPr>
                <w:b w:val="0"/>
                <w:sz w:val="18"/>
              </w:rPr>
              <w:t>Advanced</w:t>
            </w:r>
          </w:p>
        </w:tc>
        <w:tc>
          <w:tcPr>
            <w:tcW w:type="dxa" w:w="4320"/>
            <w:vAlign w:val="center"/>
          </w:tcPr>
          <w:p>
            <w:r/>
            <w:r>
              <w:rPr>
                <w:b w:val="0"/>
                <w:sz w:val="18"/>
              </w:rPr>
              <w:t>Cloud delivery, governance, migration support, regulatory platform modernization, backup and recovery planning.</w:t>
            </w:r>
          </w:p>
        </w:tc>
        <w:tc>
          <w:tcPr>
            <w:tcW w:type="dxa" w:w="2088"/>
            <w:vAlign w:val="center"/>
          </w:tcPr>
          <w:p>
            <w:r/>
            <w:r>
              <w:rPr>
                <w:b w:val="0"/>
                <w:sz w:val="18"/>
              </w:rPr>
              <w:t>ECCC, SSC</w:t>
            </w:r>
          </w:p>
        </w:tc>
      </w:tr>
      <w:tr>
        <w:tc>
          <w:tcPr>
            <w:tcW w:type="dxa" w:w="2232"/>
            <w:vAlign w:val="center"/>
            <w:shd w:fill="F7FBFF"/>
          </w:tcPr>
          <w:p>
            <w:r/>
            <w:r>
              <w:rPr>
                <w:b w:val="0"/>
                <w:sz w:val="18"/>
              </w:rPr>
              <w:t>Microsoft 365</w:t>
            </w:r>
          </w:p>
        </w:tc>
        <w:tc>
          <w:tcPr>
            <w:tcW w:type="dxa" w:w="1080"/>
            <w:vAlign w:val="center"/>
            <w:shd w:fill="F7FBFF"/>
          </w:tcPr>
          <w:p>
            <w:r/>
            <w:r>
              <w:rPr>
                <w:b w:val="0"/>
                <w:sz w:val="18"/>
              </w:rPr>
              <w:t>8+ yrs</w:t>
            </w:r>
          </w:p>
        </w:tc>
        <w:tc>
          <w:tcPr>
            <w:tcW w:type="dxa" w:w="1368"/>
            <w:vAlign w:val="center"/>
            <w:shd w:fill="F7FBFF"/>
          </w:tcPr>
          <w:p>
            <w:r/>
            <w:r>
              <w:rPr>
                <w:b w:val="0"/>
                <w:sz w:val="18"/>
              </w:rPr>
              <w:t>Advanced</w:t>
            </w:r>
          </w:p>
        </w:tc>
        <w:tc>
          <w:tcPr>
            <w:tcW w:type="dxa" w:w="4320"/>
            <w:vAlign w:val="center"/>
            <w:shd w:fill="F7FBFF"/>
          </w:tcPr>
          <w:p>
            <w:r/>
            <w:r>
              <w:rPr>
                <w:b w:val="0"/>
                <w:sz w:val="18"/>
              </w:rPr>
              <w:t>Collaboration, productivity, Teams, Planner, SharePoint Online and enterprise adoption support.</w:t>
            </w:r>
          </w:p>
        </w:tc>
        <w:tc>
          <w:tcPr>
            <w:tcW w:type="dxa" w:w="2088"/>
            <w:vAlign w:val="center"/>
            <w:shd w:fill="F7FBFF"/>
          </w:tcPr>
          <w:p>
            <w:r/>
            <w:r>
              <w:rPr>
                <w:b w:val="0"/>
                <w:sz w:val="18"/>
              </w:rPr>
              <w:t>GAC, ECCC, SSC</w:t>
            </w:r>
          </w:p>
        </w:tc>
      </w:tr>
      <w:tr>
        <w:tc>
          <w:tcPr>
            <w:tcW w:type="dxa" w:w="2232"/>
            <w:vAlign w:val="center"/>
          </w:tcPr>
          <w:p>
            <w:r/>
            <w:r>
              <w:rPr>
                <w:b w:val="0"/>
                <w:sz w:val="18"/>
              </w:rPr>
              <w:t>SharePoint Online</w:t>
            </w:r>
          </w:p>
        </w:tc>
        <w:tc>
          <w:tcPr>
            <w:tcW w:type="dxa" w:w="1080"/>
            <w:vAlign w:val="center"/>
          </w:tcPr>
          <w:p>
            <w:r/>
            <w:r>
              <w:rPr>
                <w:b w:val="0"/>
                <w:sz w:val="18"/>
              </w:rPr>
              <w:t>6+ yrs</w:t>
            </w:r>
          </w:p>
        </w:tc>
        <w:tc>
          <w:tcPr>
            <w:tcW w:type="dxa" w:w="1368"/>
            <w:vAlign w:val="center"/>
          </w:tcPr>
          <w:p>
            <w:r/>
            <w:r>
              <w:rPr>
                <w:b w:val="0"/>
                <w:sz w:val="18"/>
              </w:rPr>
              <w:t>Advanced</w:t>
            </w:r>
          </w:p>
        </w:tc>
        <w:tc>
          <w:tcPr>
            <w:tcW w:type="dxa" w:w="4320"/>
            <w:vAlign w:val="center"/>
          </w:tcPr>
          <w:p>
            <w:r/>
            <w:r>
              <w:rPr>
                <w:b w:val="0"/>
                <w:sz w:val="18"/>
              </w:rPr>
              <w:t>Information architecture, content migration, permissions, libraries, governance and user adoption.</w:t>
            </w:r>
          </w:p>
        </w:tc>
        <w:tc>
          <w:tcPr>
            <w:tcW w:type="dxa" w:w="2088"/>
            <w:vAlign w:val="center"/>
          </w:tcPr>
          <w:p>
            <w:r/>
            <w:r>
              <w:rPr>
                <w:b w:val="0"/>
                <w:sz w:val="18"/>
              </w:rPr>
              <w:t>GAC Sphere Migration</w:t>
            </w:r>
          </w:p>
        </w:tc>
      </w:tr>
      <w:tr>
        <w:tc>
          <w:tcPr>
            <w:tcW w:type="dxa" w:w="2232"/>
            <w:vAlign w:val="center"/>
            <w:shd w:fill="F7FBFF"/>
          </w:tcPr>
          <w:p>
            <w:r/>
            <w:r>
              <w:rPr>
                <w:b w:val="0"/>
                <w:sz w:val="18"/>
              </w:rPr>
              <w:t>Dynamics 365</w:t>
            </w:r>
          </w:p>
        </w:tc>
        <w:tc>
          <w:tcPr>
            <w:tcW w:type="dxa" w:w="1080"/>
            <w:vAlign w:val="center"/>
            <w:shd w:fill="F7FBFF"/>
          </w:tcPr>
          <w:p>
            <w:r/>
            <w:r>
              <w:rPr>
                <w:b w:val="0"/>
                <w:sz w:val="18"/>
              </w:rPr>
              <w:t>5+ yrs</w:t>
            </w:r>
          </w:p>
        </w:tc>
        <w:tc>
          <w:tcPr>
            <w:tcW w:type="dxa" w:w="1368"/>
            <w:vAlign w:val="center"/>
            <w:shd w:fill="F7FBFF"/>
          </w:tcPr>
          <w:p>
            <w:r/>
            <w:r>
              <w:rPr>
                <w:b w:val="0"/>
                <w:sz w:val="18"/>
              </w:rPr>
              <w:t>Advanced</w:t>
            </w:r>
          </w:p>
        </w:tc>
        <w:tc>
          <w:tcPr>
            <w:tcW w:type="dxa" w:w="4320"/>
            <w:vAlign w:val="center"/>
            <w:shd w:fill="F7FBFF"/>
          </w:tcPr>
          <w:p>
            <w:r/>
            <w:r>
              <w:rPr>
                <w:b w:val="0"/>
                <w:sz w:val="18"/>
              </w:rPr>
              <w:t>CRM modernization, data management, stakeholder engagement and delivery coordination.</w:t>
            </w:r>
          </w:p>
        </w:tc>
        <w:tc>
          <w:tcPr>
            <w:tcW w:type="dxa" w:w="2088"/>
            <w:vAlign w:val="center"/>
            <w:shd w:fill="F7FBFF"/>
          </w:tcPr>
          <w:p>
            <w:r/>
            <w:r>
              <w:rPr>
                <w:b w:val="0"/>
                <w:sz w:val="18"/>
              </w:rPr>
              <w:t>ACOA CAPRI</w:t>
            </w:r>
          </w:p>
        </w:tc>
      </w:tr>
      <w:tr>
        <w:tc>
          <w:tcPr>
            <w:tcW w:type="dxa" w:w="2232"/>
            <w:vAlign w:val="center"/>
          </w:tcPr>
          <w:p>
            <w:r/>
            <w:r>
              <w:rPr>
                <w:b w:val="0"/>
                <w:sz w:val="18"/>
              </w:rPr>
              <w:t>Salesforce</w:t>
            </w:r>
          </w:p>
        </w:tc>
        <w:tc>
          <w:tcPr>
            <w:tcW w:type="dxa" w:w="1080"/>
            <w:vAlign w:val="center"/>
          </w:tcPr>
          <w:p>
            <w:r/>
            <w:r>
              <w:rPr>
                <w:b w:val="0"/>
                <w:sz w:val="18"/>
              </w:rPr>
              <w:t>4+ yrs</w:t>
            </w:r>
          </w:p>
        </w:tc>
        <w:tc>
          <w:tcPr>
            <w:tcW w:type="dxa" w:w="1368"/>
            <w:vAlign w:val="center"/>
          </w:tcPr>
          <w:p>
            <w:r/>
            <w:r>
              <w:rPr>
                <w:b w:val="0"/>
                <w:sz w:val="18"/>
              </w:rPr>
              <w:t>Intermediate-Advanced</w:t>
            </w:r>
          </w:p>
        </w:tc>
        <w:tc>
          <w:tcPr>
            <w:tcW w:type="dxa" w:w="4320"/>
            <w:vAlign w:val="center"/>
          </w:tcPr>
          <w:p>
            <w:r/>
            <w:r>
              <w:rPr>
                <w:b w:val="0"/>
                <w:sz w:val="18"/>
              </w:rPr>
              <w:t>Enterprise application delivery oversight, CRM governance, stakeholder coordination and integration planning.</w:t>
            </w:r>
          </w:p>
        </w:tc>
        <w:tc>
          <w:tcPr>
            <w:tcW w:type="dxa" w:w="2088"/>
            <w:vAlign w:val="center"/>
          </w:tcPr>
          <w:p>
            <w:r/>
            <w:r>
              <w:rPr>
                <w:b w:val="0"/>
                <w:sz w:val="18"/>
              </w:rPr>
              <w:t>CRM modernization initiatives</w:t>
            </w:r>
          </w:p>
        </w:tc>
      </w:tr>
      <w:tr>
        <w:tc>
          <w:tcPr>
            <w:tcW w:type="dxa" w:w="2232"/>
            <w:vAlign w:val="center"/>
            <w:shd w:fill="F7FBFF"/>
          </w:tcPr>
          <w:p>
            <w:r/>
            <w:r>
              <w:rPr>
                <w:b w:val="0"/>
                <w:sz w:val="18"/>
              </w:rPr>
              <w:t>ServiceNow</w:t>
            </w:r>
          </w:p>
        </w:tc>
        <w:tc>
          <w:tcPr>
            <w:tcW w:type="dxa" w:w="1080"/>
            <w:vAlign w:val="center"/>
            <w:shd w:fill="F7FBFF"/>
          </w:tcPr>
          <w:p>
            <w:r/>
            <w:r>
              <w:rPr>
                <w:b w:val="0"/>
                <w:sz w:val="18"/>
              </w:rPr>
              <w:t>4+ yrs</w:t>
            </w:r>
          </w:p>
        </w:tc>
        <w:tc>
          <w:tcPr>
            <w:tcW w:type="dxa" w:w="1368"/>
            <w:vAlign w:val="center"/>
            <w:shd w:fill="F7FBFF"/>
          </w:tcPr>
          <w:p>
            <w:r/>
            <w:r>
              <w:rPr>
                <w:b w:val="0"/>
                <w:sz w:val="18"/>
              </w:rPr>
              <w:t>Intermediate-Advanced</w:t>
            </w:r>
          </w:p>
        </w:tc>
        <w:tc>
          <w:tcPr>
            <w:tcW w:type="dxa" w:w="4320"/>
            <w:vAlign w:val="center"/>
            <w:shd w:fill="F7FBFF"/>
          </w:tcPr>
          <w:p>
            <w:r/>
            <w:r>
              <w:rPr>
                <w:b w:val="0"/>
                <w:sz w:val="18"/>
              </w:rPr>
              <w:t>ITSM process alignment, implementation support, workflow and service management governance.</w:t>
            </w:r>
          </w:p>
        </w:tc>
        <w:tc>
          <w:tcPr>
            <w:tcW w:type="dxa" w:w="2088"/>
            <w:vAlign w:val="center"/>
            <w:shd w:fill="F7FBFF"/>
          </w:tcPr>
          <w:p>
            <w:r/>
            <w:r>
              <w:rPr>
                <w:b w:val="0"/>
                <w:sz w:val="18"/>
              </w:rPr>
              <w:t>Government ITSM initiatives</w:t>
            </w:r>
          </w:p>
        </w:tc>
      </w:tr>
      <w:tr>
        <w:tc>
          <w:tcPr>
            <w:tcW w:type="dxa" w:w="2232"/>
            <w:vAlign w:val="center"/>
          </w:tcPr>
          <w:p>
            <w:r/>
            <w:r>
              <w:rPr>
                <w:b w:val="0"/>
                <w:sz w:val="18"/>
              </w:rPr>
              <w:t>Azure DevOps</w:t>
            </w:r>
          </w:p>
        </w:tc>
        <w:tc>
          <w:tcPr>
            <w:tcW w:type="dxa" w:w="1080"/>
            <w:vAlign w:val="center"/>
          </w:tcPr>
          <w:p>
            <w:r/>
            <w:r>
              <w:rPr>
                <w:b w:val="0"/>
                <w:sz w:val="18"/>
              </w:rPr>
              <w:t>6+ yrs</w:t>
            </w:r>
          </w:p>
        </w:tc>
        <w:tc>
          <w:tcPr>
            <w:tcW w:type="dxa" w:w="1368"/>
            <w:vAlign w:val="center"/>
          </w:tcPr>
          <w:p>
            <w:r/>
            <w:r>
              <w:rPr>
                <w:b w:val="0"/>
                <w:sz w:val="18"/>
              </w:rPr>
              <w:t>Advanced</w:t>
            </w:r>
          </w:p>
        </w:tc>
        <w:tc>
          <w:tcPr>
            <w:tcW w:type="dxa" w:w="4320"/>
            <w:vAlign w:val="center"/>
          </w:tcPr>
          <w:p>
            <w:r/>
            <w:r>
              <w:rPr>
                <w:b w:val="0"/>
                <w:sz w:val="18"/>
              </w:rPr>
              <w:t>Agile delivery, product backlogs, sprint planning, dashboards, testing cycles and release tracking.</w:t>
            </w:r>
          </w:p>
        </w:tc>
        <w:tc>
          <w:tcPr>
            <w:tcW w:type="dxa" w:w="2088"/>
            <w:vAlign w:val="center"/>
          </w:tcPr>
          <w:p>
            <w:r/>
            <w:r>
              <w:rPr>
                <w:b w:val="0"/>
                <w:sz w:val="18"/>
              </w:rPr>
              <w:t>ECCC, ACOA</w:t>
            </w:r>
          </w:p>
        </w:tc>
      </w:tr>
      <w:tr>
        <w:tc>
          <w:tcPr>
            <w:tcW w:type="dxa" w:w="2232"/>
            <w:vAlign w:val="center"/>
            <w:shd w:fill="F7FBFF"/>
          </w:tcPr>
          <w:p>
            <w:r/>
            <w:r>
              <w:rPr>
                <w:b w:val="0"/>
                <w:sz w:val="18"/>
              </w:rPr>
              <w:t>Power Platform</w:t>
            </w:r>
          </w:p>
        </w:tc>
        <w:tc>
          <w:tcPr>
            <w:tcW w:type="dxa" w:w="1080"/>
            <w:vAlign w:val="center"/>
            <w:shd w:fill="F7FBFF"/>
          </w:tcPr>
          <w:p>
            <w:r/>
            <w:r>
              <w:rPr>
                <w:b w:val="0"/>
                <w:sz w:val="18"/>
              </w:rPr>
              <w:t>4+ yrs</w:t>
            </w:r>
          </w:p>
        </w:tc>
        <w:tc>
          <w:tcPr>
            <w:tcW w:type="dxa" w:w="1368"/>
            <w:vAlign w:val="center"/>
            <w:shd w:fill="F7FBFF"/>
          </w:tcPr>
          <w:p>
            <w:r/>
            <w:r>
              <w:rPr>
                <w:b w:val="0"/>
                <w:sz w:val="18"/>
              </w:rPr>
              <w:t>Intermediate-Advanced</w:t>
            </w:r>
          </w:p>
        </w:tc>
        <w:tc>
          <w:tcPr>
            <w:tcW w:type="dxa" w:w="4320"/>
            <w:vAlign w:val="center"/>
            <w:shd w:fill="F7FBFF"/>
          </w:tcPr>
          <w:p>
            <w:r/>
            <w:r>
              <w:rPr>
                <w:b w:val="0"/>
                <w:sz w:val="18"/>
              </w:rPr>
              <w:t>Power Apps, workflow automation, low-code governance and digital process enablement.</w:t>
            </w:r>
          </w:p>
        </w:tc>
        <w:tc>
          <w:tcPr>
            <w:tcW w:type="dxa" w:w="2088"/>
            <w:vAlign w:val="center"/>
            <w:shd w:fill="F7FBFF"/>
          </w:tcPr>
          <w:p>
            <w:r/>
            <w:r>
              <w:rPr>
                <w:b w:val="0"/>
                <w:sz w:val="18"/>
              </w:rPr>
              <w:t>ECCC</w:t>
            </w:r>
          </w:p>
        </w:tc>
      </w:tr>
      <w:tr>
        <w:tc>
          <w:tcPr>
            <w:tcW w:type="dxa" w:w="2232"/>
            <w:vAlign w:val="center"/>
          </w:tcPr>
          <w:p>
            <w:r/>
            <w:r>
              <w:rPr>
                <w:b w:val="0"/>
                <w:sz w:val="18"/>
              </w:rPr>
              <w:t>Cybersecurity</w:t>
            </w:r>
          </w:p>
        </w:tc>
        <w:tc>
          <w:tcPr>
            <w:tcW w:type="dxa" w:w="1080"/>
            <w:vAlign w:val="center"/>
          </w:tcPr>
          <w:p>
            <w:r/>
            <w:r>
              <w:rPr>
                <w:b w:val="0"/>
                <w:sz w:val="18"/>
              </w:rPr>
              <w:t>20+ yrs</w:t>
            </w:r>
          </w:p>
        </w:tc>
        <w:tc>
          <w:tcPr>
            <w:tcW w:type="dxa" w:w="1368"/>
            <w:vAlign w:val="center"/>
          </w:tcPr>
          <w:p>
            <w:r/>
            <w:r>
              <w:rPr>
                <w:b w:val="0"/>
                <w:sz w:val="18"/>
              </w:rPr>
              <w:t>Advanced</w:t>
            </w:r>
          </w:p>
        </w:tc>
        <w:tc>
          <w:tcPr>
            <w:tcW w:type="dxa" w:w="4320"/>
            <w:vAlign w:val="center"/>
          </w:tcPr>
          <w:p>
            <w:r/>
            <w:r>
              <w:rPr>
                <w:b w:val="0"/>
                <w:sz w:val="18"/>
              </w:rPr>
              <w:t>Security governance, SA&amp;A, IAM, RBAC, risk management, privacy, compliance and ATO support.</w:t>
            </w:r>
          </w:p>
        </w:tc>
        <w:tc>
          <w:tcPr>
            <w:tcW w:type="dxa" w:w="2088"/>
            <w:vAlign w:val="center"/>
          </w:tcPr>
          <w:p>
            <w:r/>
            <w:r>
              <w:rPr>
                <w:b w:val="0"/>
                <w:sz w:val="18"/>
              </w:rPr>
              <w:t>HC, DND, ECCC</w:t>
            </w:r>
          </w:p>
        </w:tc>
      </w:tr>
    </w:tbl>
    <w:p/>
    <w:p>
      <w:pPr>
        <w:pStyle w:val="Heading2"/>
      </w:pPr>
      <w:r>
        <w:rPr>
          <w:color w:val="203864"/>
        </w:rPr>
        <w:t>Technology Portfolio Continued</w:t>
      </w:r>
    </w:p>
    <w:tbl>
      <w:tblPr>
        <w:tblStyle w:val="TableGrid"/>
        <w:tblW w:type="auto" w:w="0"/>
        <w:jc w:val="center"/>
        <w:tblLook w:firstColumn="1" w:firstRow="1" w:lastColumn="0" w:lastRow="0" w:noHBand="0" w:noVBand="1" w:val="04A0"/>
      </w:tblPr>
      <w:tblGrid>
        <w:gridCol w:w="2074"/>
        <w:gridCol w:w="2074"/>
        <w:gridCol w:w="2074"/>
        <w:gridCol w:w="2074"/>
        <w:gridCol w:w="2074"/>
      </w:tblGrid>
      <w:tr>
        <w:tc>
          <w:tcPr>
            <w:tcW w:type="dxa" w:w="2232"/>
            <w:vAlign w:val="center"/>
            <w:shd w:fill="1F4E79"/>
          </w:tcPr>
          <w:p>
            <w:r/>
            <w:r>
              <w:rPr>
                <w:b/>
                <w:color w:val="FFFFFF"/>
                <w:sz w:val="18"/>
              </w:rPr>
              <w:t>Technology / Platform</w:t>
            </w:r>
          </w:p>
        </w:tc>
        <w:tc>
          <w:tcPr>
            <w:tcW w:type="dxa" w:w="1080"/>
            <w:vAlign w:val="center"/>
            <w:shd w:fill="1F4E79"/>
          </w:tcPr>
          <w:p>
            <w:r/>
            <w:r>
              <w:rPr>
                <w:b/>
                <w:color w:val="FFFFFF"/>
                <w:sz w:val="18"/>
              </w:rPr>
              <w:t>Experience</w:t>
            </w:r>
          </w:p>
        </w:tc>
        <w:tc>
          <w:tcPr>
            <w:tcW w:type="dxa" w:w="1368"/>
            <w:vAlign w:val="center"/>
            <w:shd w:fill="1F4E79"/>
          </w:tcPr>
          <w:p>
            <w:r/>
            <w:r>
              <w:rPr>
                <w:b/>
                <w:color w:val="FFFFFF"/>
                <w:sz w:val="18"/>
              </w:rPr>
              <w:t>Level</w:t>
            </w:r>
          </w:p>
        </w:tc>
        <w:tc>
          <w:tcPr>
            <w:tcW w:type="dxa" w:w="4320"/>
            <w:vAlign w:val="center"/>
            <w:shd w:fill="1F4E79"/>
          </w:tcPr>
          <w:p>
            <w:r/>
            <w:r>
              <w:rPr>
                <w:b/>
                <w:color w:val="FFFFFF"/>
                <w:sz w:val="18"/>
              </w:rPr>
              <w:t>Capability Description</w:t>
            </w:r>
          </w:p>
        </w:tc>
        <w:tc>
          <w:tcPr>
            <w:tcW w:type="dxa" w:w="2088"/>
            <w:vAlign w:val="center"/>
            <w:shd w:fill="1F4E79"/>
          </w:tcPr>
          <w:p>
            <w:r/>
            <w:r>
              <w:rPr>
                <w:b/>
                <w:color w:val="FFFFFF"/>
                <w:sz w:val="18"/>
              </w:rPr>
              <w:t>Representative Experience</w:t>
            </w:r>
          </w:p>
        </w:tc>
      </w:tr>
      <w:tr>
        <w:tc>
          <w:tcPr>
            <w:tcW w:type="dxa" w:w="2232"/>
            <w:vAlign w:val="center"/>
            <w:shd w:fill="F7FBFF"/>
          </w:tcPr>
          <w:p>
            <w:r/>
            <w:r>
              <w:rPr>
                <w:b w:val="0"/>
                <w:sz w:val="18"/>
              </w:rPr>
              <w:t>Data Centre Infrastructure</w:t>
            </w:r>
          </w:p>
        </w:tc>
        <w:tc>
          <w:tcPr>
            <w:tcW w:type="dxa" w:w="1080"/>
            <w:vAlign w:val="center"/>
            <w:shd w:fill="F7FBFF"/>
          </w:tcPr>
          <w:p>
            <w:r/>
            <w:r>
              <w:rPr>
                <w:b w:val="0"/>
                <w:sz w:val="18"/>
              </w:rPr>
              <w:t>15+ yrs</w:t>
            </w:r>
          </w:p>
        </w:tc>
        <w:tc>
          <w:tcPr>
            <w:tcW w:type="dxa" w:w="1368"/>
            <w:vAlign w:val="center"/>
            <w:shd w:fill="F7FBFF"/>
          </w:tcPr>
          <w:p>
            <w:r/>
            <w:r>
              <w:rPr>
                <w:b w:val="0"/>
                <w:sz w:val="18"/>
              </w:rPr>
              <w:t>Expert</w:t>
            </w:r>
          </w:p>
        </w:tc>
        <w:tc>
          <w:tcPr>
            <w:tcW w:type="dxa" w:w="4320"/>
            <w:vAlign w:val="center"/>
            <w:shd w:fill="F7FBFF"/>
          </w:tcPr>
          <w:p>
            <w:r/>
            <w:r>
              <w:rPr>
                <w:b w:val="0"/>
                <w:sz w:val="18"/>
              </w:rPr>
              <w:t>Data centre consolidation, infrastructure migration, enterprise hosting, lab modernization and converged systems.</w:t>
            </w:r>
          </w:p>
        </w:tc>
        <w:tc>
          <w:tcPr>
            <w:tcW w:type="dxa" w:w="2088"/>
            <w:vAlign w:val="center"/>
            <w:shd w:fill="F7FBFF"/>
          </w:tcPr>
          <w:p>
            <w:r/>
            <w:r>
              <w:rPr>
                <w:b w:val="0"/>
                <w:sz w:val="18"/>
              </w:rPr>
              <w:t>SSC</w:t>
            </w:r>
          </w:p>
        </w:tc>
      </w:tr>
      <w:tr>
        <w:tc>
          <w:tcPr>
            <w:tcW w:type="dxa" w:w="2232"/>
            <w:vAlign w:val="center"/>
          </w:tcPr>
          <w:p>
            <w:r/>
            <w:r>
              <w:rPr>
                <w:b w:val="0"/>
                <w:sz w:val="18"/>
              </w:rPr>
              <w:t>Networking</w:t>
            </w:r>
          </w:p>
        </w:tc>
        <w:tc>
          <w:tcPr>
            <w:tcW w:type="dxa" w:w="1080"/>
            <w:vAlign w:val="center"/>
          </w:tcPr>
          <w:p>
            <w:r/>
            <w:r>
              <w:rPr>
                <w:b w:val="0"/>
                <w:sz w:val="18"/>
              </w:rPr>
              <w:t>20+ yrs</w:t>
            </w:r>
          </w:p>
        </w:tc>
        <w:tc>
          <w:tcPr>
            <w:tcW w:type="dxa" w:w="1368"/>
            <w:vAlign w:val="center"/>
          </w:tcPr>
          <w:p>
            <w:r/>
            <w:r>
              <w:rPr>
                <w:b w:val="0"/>
                <w:sz w:val="18"/>
              </w:rPr>
              <w:t>Expert</w:t>
            </w:r>
          </w:p>
        </w:tc>
        <w:tc>
          <w:tcPr>
            <w:tcW w:type="dxa" w:w="4320"/>
            <w:vAlign w:val="center"/>
          </w:tcPr>
          <w:p>
            <w:r/>
            <w:r>
              <w:rPr>
                <w:b w:val="0"/>
                <w:sz w:val="18"/>
              </w:rPr>
              <w:t>LAN/WAN, DNS, DHCP, IPAM, DDI, IPv6, NTP, firewalls, VPN, routing and enterprise connectivity.</w:t>
            </w:r>
          </w:p>
        </w:tc>
        <w:tc>
          <w:tcPr>
            <w:tcW w:type="dxa" w:w="2088"/>
            <w:vAlign w:val="center"/>
          </w:tcPr>
          <w:p>
            <w:r/>
            <w:r>
              <w:rPr>
                <w:b w:val="0"/>
                <w:sz w:val="18"/>
              </w:rPr>
              <w:t>SSC, HC, PWGSC</w:t>
            </w:r>
          </w:p>
        </w:tc>
      </w:tr>
      <w:tr>
        <w:tc>
          <w:tcPr>
            <w:tcW w:type="dxa" w:w="2232"/>
            <w:vAlign w:val="center"/>
            <w:shd w:fill="F7FBFF"/>
          </w:tcPr>
          <w:p>
            <w:r/>
            <w:r>
              <w:rPr>
                <w:b w:val="0"/>
                <w:sz w:val="18"/>
              </w:rPr>
              <w:t>Enterprise Applications</w:t>
            </w:r>
          </w:p>
        </w:tc>
        <w:tc>
          <w:tcPr>
            <w:tcW w:type="dxa" w:w="1080"/>
            <w:vAlign w:val="center"/>
            <w:shd w:fill="F7FBFF"/>
          </w:tcPr>
          <w:p>
            <w:r/>
            <w:r>
              <w:rPr>
                <w:b w:val="0"/>
                <w:sz w:val="18"/>
              </w:rPr>
              <w:t>.NET / SQL / Portals</w:t>
            </w:r>
          </w:p>
        </w:tc>
        <w:tc>
          <w:tcPr>
            <w:tcW w:type="dxa" w:w="1368"/>
            <w:vAlign w:val="center"/>
            <w:shd w:fill="F7FBFF"/>
          </w:tcPr>
          <w:p>
            <w:r/>
            <w:r>
              <w:rPr>
                <w:b w:val="0"/>
                <w:sz w:val="18"/>
              </w:rPr>
              <w:t>Advanced</w:t>
            </w:r>
          </w:p>
        </w:tc>
        <w:tc>
          <w:tcPr>
            <w:tcW w:type="dxa" w:w="4320"/>
            <w:vAlign w:val="center"/>
            <w:shd w:fill="F7FBFF"/>
          </w:tcPr>
          <w:p>
            <w:r/>
            <w:r>
              <w:rPr>
                <w:b w:val="0"/>
                <w:sz w:val="18"/>
              </w:rPr>
              <w:t>Enterprise application modernization, portals, databases, APIs and secure delivery governance.</w:t>
            </w:r>
          </w:p>
        </w:tc>
        <w:tc>
          <w:tcPr>
            <w:tcW w:type="dxa" w:w="2088"/>
            <w:vAlign w:val="center"/>
            <w:shd w:fill="F7FBFF"/>
          </w:tcPr>
          <w:p>
            <w:r/>
            <w:r>
              <w:rPr>
                <w:b w:val="0"/>
                <w:sz w:val="18"/>
              </w:rPr>
              <w:t>ACOA, ECCC, HC</w:t>
            </w:r>
          </w:p>
        </w:tc>
      </w:tr>
      <w:tr>
        <w:tc>
          <w:tcPr>
            <w:tcW w:type="dxa" w:w="2232"/>
            <w:vAlign w:val="center"/>
          </w:tcPr>
          <w:p>
            <w:r/>
            <w:r>
              <w:rPr>
                <w:b w:val="0"/>
                <w:sz w:val="18"/>
              </w:rPr>
              <w:t>Databases &amp; BI</w:t>
            </w:r>
          </w:p>
        </w:tc>
        <w:tc>
          <w:tcPr>
            <w:tcW w:type="dxa" w:w="1080"/>
            <w:vAlign w:val="center"/>
          </w:tcPr>
          <w:p>
            <w:r/>
            <w:r>
              <w:rPr>
                <w:b w:val="0"/>
                <w:sz w:val="18"/>
              </w:rPr>
              <w:t>SQL, Oracle, BIR</w:t>
            </w:r>
          </w:p>
        </w:tc>
        <w:tc>
          <w:tcPr>
            <w:tcW w:type="dxa" w:w="1368"/>
            <w:vAlign w:val="center"/>
          </w:tcPr>
          <w:p>
            <w:r/>
            <w:r>
              <w:rPr>
                <w:b w:val="0"/>
                <w:sz w:val="18"/>
              </w:rPr>
              <w:t>Advanced</w:t>
            </w:r>
          </w:p>
        </w:tc>
        <w:tc>
          <w:tcPr>
            <w:tcW w:type="dxa" w:w="4320"/>
            <w:vAlign w:val="center"/>
          </w:tcPr>
          <w:p>
            <w:r/>
            <w:r>
              <w:rPr>
                <w:b w:val="0"/>
                <w:sz w:val="18"/>
              </w:rPr>
              <w:t>Database integration, reporting, analytics, data migration, BI coordination and data quality support.</w:t>
            </w:r>
          </w:p>
        </w:tc>
        <w:tc>
          <w:tcPr>
            <w:tcW w:type="dxa" w:w="2088"/>
            <w:vAlign w:val="center"/>
          </w:tcPr>
          <w:p>
            <w:r/>
            <w:r>
              <w:rPr>
                <w:b w:val="0"/>
                <w:sz w:val="18"/>
              </w:rPr>
              <w:t>HC, ECCC, ACOA</w:t>
            </w:r>
          </w:p>
        </w:tc>
      </w:tr>
      <w:tr>
        <w:tc>
          <w:tcPr>
            <w:tcW w:type="dxa" w:w="2232"/>
            <w:vAlign w:val="center"/>
            <w:shd w:fill="F7FBFF"/>
          </w:tcPr>
          <w:p>
            <w:r/>
            <w:r>
              <w:rPr>
                <w:b w:val="0"/>
                <w:sz w:val="18"/>
              </w:rPr>
              <w:t>Collaboration &amp; PM Tools</w:t>
            </w:r>
          </w:p>
        </w:tc>
        <w:tc>
          <w:tcPr>
            <w:tcW w:type="dxa" w:w="1080"/>
            <w:vAlign w:val="center"/>
            <w:shd w:fill="F7FBFF"/>
          </w:tcPr>
          <w:p>
            <w:r/>
            <w:r>
              <w:rPr>
                <w:b w:val="0"/>
                <w:sz w:val="18"/>
              </w:rPr>
              <w:t>MS Project, Planner, Teams</w:t>
            </w:r>
          </w:p>
        </w:tc>
        <w:tc>
          <w:tcPr>
            <w:tcW w:type="dxa" w:w="1368"/>
            <w:vAlign w:val="center"/>
            <w:shd w:fill="F7FBFF"/>
          </w:tcPr>
          <w:p>
            <w:r/>
            <w:r>
              <w:rPr>
                <w:b w:val="0"/>
                <w:sz w:val="18"/>
              </w:rPr>
              <w:t>Expert</w:t>
            </w:r>
          </w:p>
        </w:tc>
        <w:tc>
          <w:tcPr>
            <w:tcW w:type="dxa" w:w="4320"/>
            <w:vAlign w:val="center"/>
            <w:shd w:fill="F7FBFF"/>
          </w:tcPr>
          <w:p>
            <w:r/>
            <w:r>
              <w:rPr>
                <w:b w:val="0"/>
                <w:sz w:val="18"/>
              </w:rPr>
              <w:t>Project schedules, dashboards, collaboration sites, action tracking and executive reporting.</w:t>
            </w:r>
          </w:p>
        </w:tc>
        <w:tc>
          <w:tcPr>
            <w:tcW w:type="dxa" w:w="2088"/>
            <w:vAlign w:val="center"/>
            <w:shd w:fill="F7FBFF"/>
          </w:tcPr>
          <w:p>
            <w:r/>
            <w:r>
              <w:rPr>
                <w:b w:val="0"/>
                <w:sz w:val="18"/>
              </w:rPr>
              <w:t>All major engagements</w:t>
            </w:r>
          </w:p>
        </w:tc>
      </w:tr>
    </w:tbl>
    <w:p/>
    <w:p>
      <w:pPr>
        <w:pStyle w:val="Heading2"/>
      </w:pPr>
      <w:r>
        <w:rPr>
          <w:color w:val="203864"/>
        </w:rPr>
        <w:t>Microsoft Portfolio</w:t>
      </w:r>
    </w:p>
    <w:p>
      <w:r>
        <w:t>The Microsoft portfolio is a core part of PMP-IT Consulting service delivery, supporting collaboration, cloud, CRM, DevOps, security, and business transformation initiatives.</w:t>
      </w:r>
    </w:p>
    <w:p>
      <w:pPr>
        <w:pStyle w:val="ListBullet"/>
      </w:pPr>
      <w:r>
        <w:t>Azure: cloud transformation, governance, migration planning, landing zones, security alignment and hybrid integration.</w:t>
      </w:r>
    </w:p>
    <w:p>
      <w:pPr>
        <w:pStyle w:val="ListBullet"/>
      </w:pPr>
      <w:r>
        <w:t>Microsoft 365: Teams, SharePoint Online, Planner, collaboration governance and user adoption.</w:t>
      </w:r>
    </w:p>
    <w:p>
      <w:pPr>
        <w:pStyle w:val="ListBullet"/>
      </w:pPr>
      <w:r>
        <w:t>Dynamics 365: CRM modernization, business process alignment, implementation oversight and integration coordination.</w:t>
      </w:r>
    </w:p>
    <w:p>
      <w:pPr>
        <w:pStyle w:val="ListBullet"/>
      </w:pPr>
      <w:r>
        <w:t>Azure DevOps: backlog management, sprint planning, dashboards, release tracking and Agile reporting.</w:t>
      </w:r>
    </w:p>
    <w:p>
      <w:pPr>
        <w:pStyle w:val="ListBullet"/>
      </w:pPr>
      <w:r>
        <w:t>Power Platform: low-code automation, Power Apps governance, process improvement and business enablement.</w:t>
      </w:r>
    </w:p>
    <w:p>
      <w:pPr>
        <w:pStyle w:val="ListBullet"/>
      </w:pPr>
      <w:r>
        <w:t>Entra ID / Active Directory: identity alignment, access models, RBAC and role-based permission planning.</w:t>
      </w:r>
    </w:p>
    <w:p>
      <w:pPr>
        <w:pStyle w:val="Heading2"/>
      </w:pPr>
      <w:r>
        <w:rPr>
          <w:color w:val="203864"/>
        </w:rPr>
        <w:t>AWS Portfolio</w:t>
      </w:r>
    </w:p>
    <w:p>
      <w:r>
        <w:t>AWS capabilities are focused on cloud migration, governance, security, business continuity, and modernization of workloads supporting regulatory and mission-critical systems.</w:t>
      </w:r>
    </w:p>
    <w:p>
      <w:pPr>
        <w:pStyle w:val="ListBullet"/>
      </w:pPr>
      <w:r>
        <w:t>Cloud adoption and migration planning</w:t>
      </w:r>
    </w:p>
    <w:p>
      <w:pPr>
        <w:pStyle w:val="ListBullet"/>
      </w:pPr>
      <w:r>
        <w:t>Governance, security and compliance coordination</w:t>
      </w:r>
    </w:p>
    <w:p>
      <w:pPr>
        <w:pStyle w:val="ListBullet"/>
      </w:pPr>
      <w:r>
        <w:t>Backup and recovery planning</w:t>
      </w:r>
    </w:p>
    <w:p>
      <w:pPr>
        <w:pStyle w:val="ListBullet"/>
      </w:pPr>
      <w:r>
        <w:t>Regulatory application modernization</w:t>
      </w:r>
    </w:p>
    <w:p>
      <w:pPr>
        <w:pStyle w:val="ListBullet"/>
      </w:pPr>
      <w:r>
        <w:t>Cost and risk oversight</w:t>
      </w:r>
    </w:p>
    <w:p>
      <w:pPr>
        <w:pStyle w:val="ListBullet"/>
      </w:pPr>
      <w:r>
        <w:t>Executive reporting for cloud programs</w:t>
      </w:r>
    </w:p>
    <w:p>
      <w:pPr>
        <w:pStyle w:val="Heading2"/>
      </w:pPr>
      <w:r>
        <w:rPr>
          <w:color w:val="203864"/>
        </w:rPr>
        <w:t>Enterprise Applications Portfolio</w:t>
      </w:r>
    </w:p>
    <w:p>
      <w:pPr>
        <w:pStyle w:val="ListBullet"/>
      </w:pPr>
      <w:r>
        <w:t>Dynamics 365 CRM delivery management and stakeholder coordination.</w:t>
      </w:r>
    </w:p>
    <w:p>
      <w:pPr>
        <w:pStyle w:val="ListBullet"/>
      </w:pPr>
      <w:r>
        <w:t>Salesforce delivery oversight and CRM transformation support.</w:t>
      </w:r>
    </w:p>
    <w:p>
      <w:pPr>
        <w:pStyle w:val="ListBullet"/>
      </w:pPr>
      <w:r>
        <w:t>ServiceNow ITSM and service management transformation support.</w:t>
      </w:r>
    </w:p>
    <w:p>
      <w:pPr>
        <w:pStyle w:val="ListBullet"/>
      </w:pPr>
      <w:r>
        <w:t>SharePoint Online information architecture and content migration.</w:t>
      </w:r>
    </w:p>
    <w:p>
      <w:pPr>
        <w:pStyle w:val="ListBullet"/>
      </w:pPr>
      <w:r>
        <w:t>Custom .NET, SQL, APIs and enterprise portal delivery oversight.</w:t>
      </w:r>
    </w:p>
    <w:p>
      <w:pPr>
        <w:pStyle w:val="ListBullet"/>
      </w:pPr>
      <w:r>
        <w:t>Integration planning across internal systems and external platforms.</w:t>
      </w:r>
    </w:p>
    <w:p>
      <w:pPr>
        <w:pStyle w:val="Heading2"/>
      </w:pPr>
      <w:r>
        <w:rPr>
          <w:color w:val="203864"/>
        </w:rPr>
        <w:t>Cybersecurity and Governance Portfolio</w:t>
      </w:r>
    </w:p>
    <w:p>
      <w:pPr>
        <w:pStyle w:val="ListBullet"/>
      </w:pPr>
      <w:r>
        <w:t>Security governance, risk management and compliance alignment.</w:t>
      </w:r>
    </w:p>
    <w:p>
      <w:pPr>
        <w:pStyle w:val="ListBullet"/>
      </w:pPr>
      <w:r>
        <w:t>SA&amp;A / Authority to Operate support and documentation coordination.</w:t>
      </w:r>
    </w:p>
    <w:p>
      <w:pPr>
        <w:pStyle w:val="ListBullet"/>
      </w:pPr>
      <w:r>
        <w:t>IAM, RBAC, permissions, privacy and data security controls.</w:t>
      </w:r>
    </w:p>
    <w:p>
      <w:pPr>
        <w:pStyle w:val="ListBullet"/>
      </w:pPr>
      <w:r>
        <w:t>Security architecture reviews and executive security briefings.</w:t>
      </w:r>
    </w:p>
    <w:p>
      <w:pPr>
        <w:pStyle w:val="ListBullet"/>
      </w:pPr>
      <w:r>
        <w:t>Firewall, VPN, antivirus, web filtering, and infrastructure security project experience.</w:t>
      </w:r>
    </w:p>
    <w:p>
      <w:pPr>
        <w:pStyle w:val="ListBullet"/>
      </w:pPr>
      <w:r>
        <w:t>Governance alignment with Government of Canada security practices and Treasury Board expectations.</w:t>
      </w:r>
    </w:p>
    <w:p>
      <w:pPr>
        <w:pStyle w:val="Heading2"/>
      </w:pPr>
      <w:r>
        <w:rPr>
          <w:color w:val="203864"/>
        </w:rPr>
        <w:t>Data Centre, Infrastructure and Networking Portfolio</w:t>
      </w:r>
    </w:p>
    <w:p>
      <w:pPr>
        <w:pStyle w:val="ListBullet"/>
      </w:pPr>
      <w:r>
        <w:t>Data centre modernization, consolidation and migration planning.</w:t>
      </w:r>
    </w:p>
    <w:p>
      <w:pPr>
        <w:pStyle w:val="ListBullet"/>
      </w:pPr>
      <w:r>
        <w:t>Enterprise networking: LAN, WAN, DDI, DHCP, DNS, IPAM, IPv6 and NTP.</w:t>
      </w:r>
    </w:p>
    <w:p>
      <w:pPr>
        <w:pStyle w:val="ListBullet"/>
      </w:pPr>
      <w:r>
        <w:t>Virtualization and converged systems including VMware and Nutanix.</w:t>
      </w:r>
    </w:p>
    <w:p>
      <w:pPr>
        <w:pStyle w:val="ListBullet"/>
      </w:pPr>
      <w:r>
        <w:t>Server modernization, backup, recovery, availability and operational transition.</w:t>
      </w:r>
    </w:p>
    <w:p>
      <w:pPr>
        <w:pStyle w:val="ListBullet"/>
      </w:pPr>
      <w:r>
        <w:t>Infrastructure governance, vendor coordination, procurement support and executive reporting.</w:t>
      </w:r>
    </w:p>
    <w:p>
      <w:pPr>
        <w:pStyle w:val="Heading1"/>
      </w:pPr>
      <w:r>
        <w:rPr>
          <w:color w:val="203864"/>
        </w:rPr>
        <w:t>2. Capability Matrices</w:t>
      </w:r>
    </w:p>
    <w:p>
      <w:r>
        <w:t>The following matrices summarize PMP-IT Consulting service capabilities, expertise levels, typical engagement durations, and representative project experience. These matrices are intended for proposals, executive discussions, capability statements, and LinkedIn service positioning.</w:t>
      </w:r>
    </w:p>
    <w:tbl>
      <w:tblPr>
        <w:tblStyle w:val="TableGrid"/>
        <w:tblW w:type="auto" w:w="0"/>
        <w:jc w:val="center"/>
        <w:tblLook w:firstColumn="1" w:firstRow="1" w:lastColumn="0" w:lastRow="0" w:noHBand="0" w:noVBand="1" w:val="04A0"/>
      </w:tblPr>
      <w:tblGrid>
        <w:gridCol w:w="2074"/>
        <w:gridCol w:w="2074"/>
        <w:gridCol w:w="2074"/>
        <w:gridCol w:w="2074"/>
        <w:gridCol w:w="2074"/>
      </w:tblGrid>
      <w:tr>
        <w:tc>
          <w:tcPr>
            <w:tcW w:type="dxa" w:w="2232"/>
            <w:vAlign w:val="center"/>
            <w:shd w:fill="1F4E79"/>
          </w:tcPr>
          <w:p>
            <w:r/>
            <w:r>
              <w:rPr>
                <w:b/>
                <w:color w:val="FFFFFF"/>
                <w:sz w:val="18"/>
              </w:rPr>
              <w:t>Capability</w:t>
            </w:r>
          </w:p>
        </w:tc>
        <w:tc>
          <w:tcPr>
            <w:tcW w:type="dxa" w:w="1152"/>
            <w:vAlign w:val="center"/>
            <w:shd w:fill="1F4E79"/>
          </w:tcPr>
          <w:p>
            <w:r/>
            <w:r>
              <w:rPr>
                <w:b/>
                <w:color w:val="FFFFFF"/>
                <w:sz w:val="18"/>
              </w:rPr>
              <w:t>Experience</w:t>
            </w:r>
          </w:p>
        </w:tc>
        <w:tc>
          <w:tcPr>
            <w:tcW w:type="dxa" w:w="1152"/>
            <w:vAlign w:val="center"/>
            <w:shd w:fill="1F4E79"/>
          </w:tcPr>
          <w:p>
            <w:r/>
            <w:r>
              <w:rPr>
                <w:b/>
                <w:color w:val="FFFFFF"/>
                <w:sz w:val="18"/>
              </w:rPr>
              <w:t>Level</w:t>
            </w:r>
          </w:p>
        </w:tc>
        <w:tc>
          <w:tcPr>
            <w:tcW w:type="dxa" w:w="1656"/>
            <w:vAlign w:val="center"/>
            <w:shd w:fill="1F4E79"/>
          </w:tcPr>
          <w:p>
            <w:r/>
            <w:r>
              <w:rPr>
                <w:b/>
                <w:color w:val="FFFFFF"/>
                <w:sz w:val="18"/>
              </w:rPr>
              <w:t>Typical Engagement</w:t>
            </w:r>
          </w:p>
        </w:tc>
        <w:tc>
          <w:tcPr>
            <w:tcW w:type="dxa" w:w="2880"/>
            <w:vAlign w:val="center"/>
            <w:shd w:fill="1F4E79"/>
          </w:tcPr>
          <w:p>
            <w:r/>
            <w:r>
              <w:rPr>
                <w:b/>
                <w:color w:val="FFFFFF"/>
                <w:sz w:val="18"/>
              </w:rPr>
              <w:t>Representative Projects</w:t>
            </w:r>
          </w:p>
        </w:tc>
      </w:tr>
      <w:tr>
        <w:tc>
          <w:tcPr>
            <w:tcW w:type="dxa" w:w="2232"/>
            <w:vAlign w:val="center"/>
            <w:shd w:fill="F7FBFF"/>
          </w:tcPr>
          <w:p>
            <w:r/>
            <w:r>
              <w:rPr>
                <w:b w:val="0"/>
                <w:sz w:val="18"/>
              </w:rPr>
              <w:t>Project Management</w:t>
            </w:r>
          </w:p>
        </w:tc>
        <w:tc>
          <w:tcPr>
            <w:tcW w:type="dxa" w:w="1152"/>
            <w:vAlign w:val="center"/>
            <w:shd w:fill="F7FBFF"/>
          </w:tcPr>
          <w:p>
            <w:r/>
            <w:r>
              <w:rPr>
                <w:b w:val="0"/>
                <w:sz w:val="18"/>
              </w:rPr>
              <w:t>25+ yrs</w:t>
            </w:r>
          </w:p>
        </w:tc>
        <w:tc>
          <w:tcPr>
            <w:tcW w:type="dxa" w:w="1152"/>
            <w:vAlign w:val="center"/>
            <w:shd w:fill="F7FBFF"/>
          </w:tcPr>
          <w:p>
            <w:r/>
            <w:r>
              <w:rPr>
                <w:b w:val="0"/>
                <w:sz w:val="18"/>
              </w:rPr>
              <w:t>Expert</w:t>
            </w:r>
          </w:p>
        </w:tc>
        <w:tc>
          <w:tcPr>
            <w:tcW w:type="dxa" w:w="1656"/>
            <w:vAlign w:val="center"/>
            <w:shd w:fill="F7FBFF"/>
          </w:tcPr>
          <w:p>
            <w:r/>
            <w:r>
              <w:rPr>
                <w:b w:val="0"/>
                <w:sz w:val="18"/>
              </w:rPr>
              <w:t>6-24 months</w:t>
            </w:r>
          </w:p>
        </w:tc>
        <w:tc>
          <w:tcPr>
            <w:tcW w:type="dxa" w:w="2880"/>
            <w:vAlign w:val="center"/>
            <w:shd w:fill="F7FBFF"/>
          </w:tcPr>
          <w:p>
            <w:r/>
            <w:r>
              <w:rPr>
                <w:b w:val="0"/>
                <w:sz w:val="18"/>
              </w:rPr>
              <w:t>All major engagements</w:t>
            </w:r>
          </w:p>
        </w:tc>
      </w:tr>
      <w:tr>
        <w:tc>
          <w:tcPr>
            <w:tcW w:type="dxa" w:w="2232"/>
            <w:vAlign w:val="center"/>
          </w:tcPr>
          <w:p>
            <w:r/>
            <w:r>
              <w:rPr>
                <w:b w:val="0"/>
                <w:sz w:val="18"/>
              </w:rPr>
              <w:t>Program Management</w:t>
            </w:r>
          </w:p>
        </w:tc>
        <w:tc>
          <w:tcPr>
            <w:tcW w:type="dxa" w:w="1152"/>
            <w:vAlign w:val="center"/>
          </w:tcPr>
          <w:p>
            <w:r/>
            <w:r>
              <w:rPr>
                <w:b w:val="0"/>
                <w:sz w:val="18"/>
              </w:rPr>
              <w:t>18+ yrs</w:t>
            </w:r>
          </w:p>
        </w:tc>
        <w:tc>
          <w:tcPr>
            <w:tcW w:type="dxa" w:w="1152"/>
            <w:vAlign w:val="center"/>
          </w:tcPr>
          <w:p>
            <w:r/>
            <w:r>
              <w:rPr>
                <w:b w:val="0"/>
                <w:sz w:val="18"/>
              </w:rPr>
              <w:t>Expert</w:t>
            </w:r>
          </w:p>
        </w:tc>
        <w:tc>
          <w:tcPr>
            <w:tcW w:type="dxa" w:w="1656"/>
            <w:vAlign w:val="center"/>
          </w:tcPr>
          <w:p>
            <w:r/>
            <w:r>
              <w:rPr>
                <w:b w:val="0"/>
                <w:sz w:val="18"/>
              </w:rPr>
              <w:t>12-36 months</w:t>
            </w:r>
          </w:p>
        </w:tc>
        <w:tc>
          <w:tcPr>
            <w:tcW w:type="dxa" w:w="2880"/>
            <w:vAlign w:val="center"/>
          </w:tcPr>
          <w:p>
            <w:r/>
            <w:r>
              <w:rPr>
                <w:b w:val="0"/>
                <w:sz w:val="18"/>
              </w:rPr>
              <w:t>SSC, ECCC</w:t>
            </w:r>
          </w:p>
        </w:tc>
      </w:tr>
      <w:tr>
        <w:tc>
          <w:tcPr>
            <w:tcW w:type="dxa" w:w="2232"/>
            <w:vAlign w:val="center"/>
            <w:shd w:fill="F7FBFF"/>
          </w:tcPr>
          <w:p>
            <w:r/>
            <w:r>
              <w:rPr>
                <w:b w:val="0"/>
                <w:sz w:val="18"/>
              </w:rPr>
              <w:t>PMO Consulting</w:t>
            </w:r>
          </w:p>
        </w:tc>
        <w:tc>
          <w:tcPr>
            <w:tcW w:type="dxa" w:w="1152"/>
            <w:vAlign w:val="center"/>
            <w:shd w:fill="F7FBFF"/>
          </w:tcPr>
          <w:p>
            <w:r/>
            <w:r>
              <w:rPr>
                <w:b w:val="0"/>
                <w:sz w:val="18"/>
              </w:rPr>
              <w:t>18+ yrs</w:t>
            </w:r>
          </w:p>
        </w:tc>
        <w:tc>
          <w:tcPr>
            <w:tcW w:type="dxa" w:w="1152"/>
            <w:vAlign w:val="center"/>
            <w:shd w:fill="F7FBFF"/>
          </w:tcPr>
          <w:p>
            <w:r/>
            <w:r>
              <w:rPr>
                <w:b w:val="0"/>
                <w:sz w:val="18"/>
              </w:rPr>
              <w:t>Expert</w:t>
            </w:r>
          </w:p>
        </w:tc>
        <w:tc>
          <w:tcPr>
            <w:tcW w:type="dxa" w:w="1656"/>
            <w:vAlign w:val="center"/>
            <w:shd w:fill="F7FBFF"/>
          </w:tcPr>
          <w:p>
            <w:r/>
            <w:r>
              <w:rPr>
                <w:b w:val="0"/>
                <w:sz w:val="18"/>
              </w:rPr>
              <w:t>6-24 months</w:t>
            </w:r>
          </w:p>
        </w:tc>
        <w:tc>
          <w:tcPr>
            <w:tcW w:type="dxa" w:w="2880"/>
            <w:vAlign w:val="center"/>
            <w:shd w:fill="F7FBFF"/>
          </w:tcPr>
          <w:p>
            <w:r/>
            <w:r>
              <w:rPr>
                <w:b w:val="0"/>
                <w:sz w:val="18"/>
              </w:rPr>
              <w:t>SSC, ECCC, HC</w:t>
            </w:r>
          </w:p>
        </w:tc>
      </w:tr>
      <w:tr>
        <w:tc>
          <w:tcPr>
            <w:tcW w:type="dxa" w:w="2232"/>
            <w:vAlign w:val="center"/>
          </w:tcPr>
          <w:p>
            <w:r/>
            <w:r>
              <w:rPr>
                <w:b w:val="0"/>
                <w:sz w:val="18"/>
              </w:rPr>
              <w:t>Business Analysis</w:t>
            </w:r>
          </w:p>
        </w:tc>
        <w:tc>
          <w:tcPr>
            <w:tcW w:type="dxa" w:w="1152"/>
            <w:vAlign w:val="center"/>
          </w:tcPr>
          <w:p>
            <w:r/>
            <w:r>
              <w:rPr>
                <w:b w:val="0"/>
                <w:sz w:val="18"/>
              </w:rPr>
              <w:t>15+ yrs</w:t>
            </w:r>
          </w:p>
        </w:tc>
        <w:tc>
          <w:tcPr>
            <w:tcW w:type="dxa" w:w="1152"/>
            <w:vAlign w:val="center"/>
          </w:tcPr>
          <w:p>
            <w:r/>
            <w:r>
              <w:rPr>
                <w:b w:val="0"/>
                <w:sz w:val="18"/>
              </w:rPr>
              <w:t>Expert</w:t>
            </w:r>
          </w:p>
        </w:tc>
        <w:tc>
          <w:tcPr>
            <w:tcW w:type="dxa" w:w="1656"/>
            <w:vAlign w:val="center"/>
          </w:tcPr>
          <w:p>
            <w:r/>
            <w:r>
              <w:rPr>
                <w:b w:val="0"/>
                <w:sz w:val="18"/>
              </w:rPr>
              <w:t>3-18 months</w:t>
            </w:r>
          </w:p>
        </w:tc>
        <w:tc>
          <w:tcPr>
            <w:tcW w:type="dxa" w:w="2880"/>
            <w:vAlign w:val="center"/>
          </w:tcPr>
          <w:p>
            <w:r/>
            <w:r>
              <w:rPr>
                <w:b w:val="0"/>
                <w:sz w:val="18"/>
              </w:rPr>
              <w:t>GAC, DND, ACOA</w:t>
            </w:r>
          </w:p>
        </w:tc>
      </w:tr>
      <w:tr>
        <w:tc>
          <w:tcPr>
            <w:tcW w:type="dxa" w:w="2232"/>
            <w:vAlign w:val="center"/>
            <w:shd w:fill="F7FBFF"/>
          </w:tcPr>
          <w:p>
            <w:r/>
            <w:r>
              <w:rPr>
                <w:b w:val="0"/>
                <w:sz w:val="18"/>
              </w:rPr>
              <w:t>Enterprise Architecture</w:t>
            </w:r>
          </w:p>
        </w:tc>
        <w:tc>
          <w:tcPr>
            <w:tcW w:type="dxa" w:w="1152"/>
            <w:vAlign w:val="center"/>
            <w:shd w:fill="F7FBFF"/>
          </w:tcPr>
          <w:p>
            <w:r/>
            <w:r>
              <w:rPr>
                <w:b w:val="0"/>
                <w:sz w:val="18"/>
              </w:rPr>
              <w:t>10+ yrs</w:t>
            </w:r>
          </w:p>
        </w:tc>
        <w:tc>
          <w:tcPr>
            <w:tcW w:type="dxa" w:w="1152"/>
            <w:vAlign w:val="center"/>
            <w:shd w:fill="F7FBFF"/>
          </w:tcPr>
          <w:p>
            <w:r/>
            <w:r>
              <w:rPr>
                <w:b w:val="0"/>
                <w:sz w:val="18"/>
              </w:rPr>
              <w:t>Advanced</w:t>
            </w:r>
          </w:p>
        </w:tc>
        <w:tc>
          <w:tcPr>
            <w:tcW w:type="dxa" w:w="1656"/>
            <w:vAlign w:val="center"/>
            <w:shd w:fill="F7FBFF"/>
          </w:tcPr>
          <w:p>
            <w:r/>
            <w:r>
              <w:rPr>
                <w:b w:val="0"/>
                <w:sz w:val="18"/>
              </w:rPr>
              <w:t>6-18 months</w:t>
            </w:r>
          </w:p>
        </w:tc>
        <w:tc>
          <w:tcPr>
            <w:tcW w:type="dxa" w:w="2880"/>
            <w:vAlign w:val="center"/>
            <w:shd w:fill="F7FBFF"/>
          </w:tcPr>
          <w:p>
            <w:r/>
            <w:r>
              <w:rPr>
                <w:b w:val="0"/>
                <w:sz w:val="18"/>
              </w:rPr>
              <w:t>DND, SSC</w:t>
            </w:r>
          </w:p>
        </w:tc>
      </w:tr>
      <w:tr>
        <w:tc>
          <w:tcPr>
            <w:tcW w:type="dxa" w:w="2232"/>
            <w:vAlign w:val="center"/>
          </w:tcPr>
          <w:p>
            <w:r/>
            <w:r>
              <w:rPr>
                <w:b w:val="0"/>
                <w:sz w:val="18"/>
              </w:rPr>
              <w:t>Digital Transformation</w:t>
            </w:r>
          </w:p>
        </w:tc>
        <w:tc>
          <w:tcPr>
            <w:tcW w:type="dxa" w:w="1152"/>
            <w:vAlign w:val="center"/>
          </w:tcPr>
          <w:p>
            <w:r/>
            <w:r>
              <w:rPr>
                <w:b w:val="0"/>
                <w:sz w:val="18"/>
              </w:rPr>
              <w:t>15+ yrs</w:t>
            </w:r>
          </w:p>
        </w:tc>
        <w:tc>
          <w:tcPr>
            <w:tcW w:type="dxa" w:w="1152"/>
            <w:vAlign w:val="center"/>
          </w:tcPr>
          <w:p>
            <w:r/>
            <w:r>
              <w:rPr>
                <w:b w:val="0"/>
                <w:sz w:val="18"/>
              </w:rPr>
              <w:t>Expert</w:t>
            </w:r>
          </w:p>
        </w:tc>
        <w:tc>
          <w:tcPr>
            <w:tcW w:type="dxa" w:w="1656"/>
            <w:vAlign w:val="center"/>
          </w:tcPr>
          <w:p>
            <w:r/>
            <w:r>
              <w:rPr>
                <w:b w:val="0"/>
                <w:sz w:val="18"/>
              </w:rPr>
              <w:t>6-36 months</w:t>
            </w:r>
          </w:p>
        </w:tc>
        <w:tc>
          <w:tcPr>
            <w:tcW w:type="dxa" w:w="2880"/>
            <w:vAlign w:val="center"/>
          </w:tcPr>
          <w:p>
            <w:r/>
            <w:r>
              <w:rPr>
                <w:b w:val="0"/>
                <w:sz w:val="18"/>
              </w:rPr>
              <w:t>ECCC, GAC, ACOA</w:t>
            </w:r>
          </w:p>
        </w:tc>
      </w:tr>
      <w:tr>
        <w:tc>
          <w:tcPr>
            <w:tcW w:type="dxa" w:w="2232"/>
            <w:vAlign w:val="center"/>
            <w:shd w:fill="F7FBFF"/>
          </w:tcPr>
          <w:p>
            <w:r/>
            <w:r>
              <w:rPr>
                <w:b w:val="0"/>
                <w:sz w:val="18"/>
              </w:rPr>
              <w:t>Cloud Transformation</w:t>
            </w:r>
          </w:p>
        </w:tc>
        <w:tc>
          <w:tcPr>
            <w:tcW w:type="dxa" w:w="1152"/>
            <w:vAlign w:val="center"/>
            <w:shd w:fill="F7FBFF"/>
          </w:tcPr>
          <w:p>
            <w:r/>
            <w:r>
              <w:rPr>
                <w:b w:val="0"/>
                <w:sz w:val="18"/>
              </w:rPr>
              <w:t>8+ yrs</w:t>
            </w:r>
          </w:p>
        </w:tc>
        <w:tc>
          <w:tcPr>
            <w:tcW w:type="dxa" w:w="1152"/>
            <w:vAlign w:val="center"/>
            <w:shd w:fill="F7FBFF"/>
          </w:tcPr>
          <w:p>
            <w:r/>
            <w:r>
              <w:rPr>
                <w:b w:val="0"/>
                <w:sz w:val="18"/>
              </w:rPr>
              <w:t>Advanced</w:t>
            </w:r>
          </w:p>
        </w:tc>
        <w:tc>
          <w:tcPr>
            <w:tcW w:type="dxa" w:w="1656"/>
            <w:vAlign w:val="center"/>
            <w:shd w:fill="F7FBFF"/>
          </w:tcPr>
          <w:p>
            <w:r/>
            <w:r>
              <w:rPr>
                <w:b w:val="0"/>
                <w:sz w:val="18"/>
              </w:rPr>
              <w:t>3-18 months</w:t>
            </w:r>
          </w:p>
        </w:tc>
        <w:tc>
          <w:tcPr>
            <w:tcW w:type="dxa" w:w="2880"/>
            <w:vAlign w:val="center"/>
            <w:shd w:fill="F7FBFF"/>
          </w:tcPr>
          <w:p>
            <w:r/>
            <w:r>
              <w:rPr>
                <w:b w:val="0"/>
                <w:sz w:val="18"/>
              </w:rPr>
              <w:t>ECCC, ACOA, SSC</w:t>
            </w:r>
          </w:p>
        </w:tc>
      </w:tr>
      <w:tr>
        <w:tc>
          <w:tcPr>
            <w:tcW w:type="dxa" w:w="2232"/>
            <w:vAlign w:val="center"/>
          </w:tcPr>
          <w:p>
            <w:r/>
            <w:r>
              <w:rPr>
                <w:b w:val="0"/>
                <w:sz w:val="18"/>
              </w:rPr>
              <w:t>Cybersecurity Governance</w:t>
            </w:r>
          </w:p>
        </w:tc>
        <w:tc>
          <w:tcPr>
            <w:tcW w:type="dxa" w:w="1152"/>
            <w:vAlign w:val="center"/>
          </w:tcPr>
          <w:p>
            <w:r/>
            <w:r>
              <w:rPr>
                <w:b w:val="0"/>
                <w:sz w:val="18"/>
              </w:rPr>
              <w:t>20+ yrs</w:t>
            </w:r>
          </w:p>
        </w:tc>
        <w:tc>
          <w:tcPr>
            <w:tcW w:type="dxa" w:w="1152"/>
            <w:vAlign w:val="center"/>
          </w:tcPr>
          <w:p>
            <w:r/>
            <w:r>
              <w:rPr>
                <w:b w:val="0"/>
                <w:sz w:val="18"/>
              </w:rPr>
              <w:t>Advanced</w:t>
            </w:r>
          </w:p>
        </w:tc>
        <w:tc>
          <w:tcPr>
            <w:tcW w:type="dxa" w:w="1656"/>
            <w:vAlign w:val="center"/>
          </w:tcPr>
          <w:p>
            <w:r/>
            <w:r>
              <w:rPr>
                <w:b w:val="0"/>
                <w:sz w:val="18"/>
              </w:rPr>
              <w:t>6-24 months</w:t>
            </w:r>
          </w:p>
        </w:tc>
        <w:tc>
          <w:tcPr>
            <w:tcW w:type="dxa" w:w="2880"/>
            <w:vAlign w:val="center"/>
          </w:tcPr>
          <w:p>
            <w:r/>
            <w:r>
              <w:rPr>
                <w:b w:val="0"/>
                <w:sz w:val="18"/>
              </w:rPr>
              <w:t>HC, DND, ECCC</w:t>
            </w:r>
          </w:p>
        </w:tc>
      </w:tr>
      <w:tr>
        <w:tc>
          <w:tcPr>
            <w:tcW w:type="dxa" w:w="2232"/>
            <w:vAlign w:val="center"/>
            <w:shd w:fill="F7FBFF"/>
          </w:tcPr>
          <w:p>
            <w:r/>
            <w:r>
              <w:rPr>
                <w:b w:val="0"/>
                <w:sz w:val="18"/>
              </w:rPr>
              <w:t>Data Centre Infrastructure</w:t>
            </w:r>
          </w:p>
        </w:tc>
        <w:tc>
          <w:tcPr>
            <w:tcW w:type="dxa" w:w="1152"/>
            <w:vAlign w:val="center"/>
            <w:shd w:fill="F7FBFF"/>
          </w:tcPr>
          <w:p>
            <w:r/>
            <w:r>
              <w:rPr>
                <w:b w:val="0"/>
                <w:sz w:val="18"/>
              </w:rPr>
              <w:t>15+ yrs</w:t>
            </w:r>
          </w:p>
        </w:tc>
        <w:tc>
          <w:tcPr>
            <w:tcW w:type="dxa" w:w="1152"/>
            <w:vAlign w:val="center"/>
            <w:shd w:fill="F7FBFF"/>
          </w:tcPr>
          <w:p>
            <w:r/>
            <w:r>
              <w:rPr>
                <w:b w:val="0"/>
                <w:sz w:val="18"/>
              </w:rPr>
              <w:t>Expert</w:t>
            </w:r>
          </w:p>
        </w:tc>
        <w:tc>
          <w:tcPr>
            <w:tcW w:type="dxa" w:w="1656"/>
            <w:vAlign w:val="center"/>
            <w:shd w:fill="F7FBFF"/>
          </w:tcPr>
          <w:p>
            <w:r/>
            <w:r>
              <w:rPr>
                <w:b w:val="0"/>
                <w:sz w:val="18"/>
              </w:rPr>
              <w:t>6-24 months</w:t>
            </w:r>
          </w:p>
        </w:tc>
        <w:tc>
          <w:tcPr>
            <w:tcW w:type="dxa" w:w="2880"/>
            <w:vAlign w:val="center"/>
            <w:shd w:fill="F7FBFF"/>
          </w:tcPr>
          <w:p>
            <w:r/>
            <w:r>
              <w:rPr>
                <w:b w:val="0"/>
                <w:sz w:val="18"/>
              </w:rPr>
              <w:t>SSC</w:t>
            </w:r>
          </w:p>
        </w:tc>
      </w:tr>
      <w:tr>
        <w:tc>
          <w:tcPr>
            <w:tcW w:type="dxa" w:w="2232"/>
            <w:vAlign w:val="center"/>
          </w:tcPr>
          <w:p>
            <w:r/>
            <w:r>
              <w:rPr>
                <w:b w:val="0"/>
                <w:sz w:val="18"/>
              </w:rPr>
              <w:t>Networking &amp; DDI</w:t>
            </w:r>
          </w:p>
        </w:tc>
        <w:tc>
          <w:tcPr>
            <w:tcW w:type="dxa" w:w="1152"/>
            <w:vAlign w:val="center"/>
          </w:tcPr>
          <w:p>
            <w:r/>
            <w:r>
              <w:rPr>
                <w:b w:val="0"/>
                <w:sz w:val="18"/>
              </w:rPr>
              <w:t>20+ yrs</w:t>
            </w:r>
          </w:p>
        </w:tc>
        <w:tc>
          <w:tcPr>
            <w:tcW w:type="dxa" w:w="1152"/>
            <w:vAlign w:val="center"/>
          </w:tcPr>
          <w:p>
            <w:r/>
            <w:r>
              <w:rPr>
                <w:b w:val="0"/>
                <w:sz w:val="18"/>
              </w:rPr>
              <w:t>Expert</w:t>
            </w:r>
          </w:p>
        </w:tc>
        <w:tc>
          <w:tcPr>
            <w:tcW w:type="dxa" w:w="1656"/>
            <w:vAlign w:val="center"/>
          </w:tcPr>
          <w:p>
            <w:r/>
            <w:r>
              <w:rPr>
                <w:b w:val="0"/>
                <w:sz w:val="18"/>
              </w:rPr>
              <w:t>3-24 months</w:t>
            </w:r>
          </w:p>
        </w:tc>
        <w:tc>
          <w:tcPr>
            <w:tcW w:type="dxa" w:w="2880"/>
            <w:vAlign w:val="center"/>
          </w:tcPr>
          <w:p>
            <w:r/>
            <w:r>
              <w:rPr>
                <w:b w:val="0"/>
                <w:sz w:val="18"/>
              </w:rPr>
              <w:t>SSC, HC, PWGSC</w:t>
            </w:r>
          </w:p>
        </w:tc>
      </w:tr>
      <w:tr>
        <w:tc>
          <w:tcPr>
            <w:tcW w:type="dxa" w:w="2232"/>
            <w:vAlign w:val="center"/>
            <w:shd w:fill="F7FBFF"/>
          </w:tcPr>
          <w:p>
            <w:r/>
            <w:r>
              <w:rPr>
                <w:b w:val="0"/>
                <w:sz w:val="18"/>
              </w:rPr>
              <w:t>Executive Reporting</w:t>
            </w:r>
          </w:p>
        </w:tc>
        <w:tc>
          <w:tcPr>
            <w:tcW w:type="dxa" w:w="1152"/>
            <w:vAlign w:val="center"/>
            <w:shd w:fill="F7FBFF"/>
          </w:tcPr>
          <w:p>
            <w:r/>
            <w:r>
              <w:rPr>
                <w:b w:val="0"/>
                <w:sz w:val="18"/>
              </w:rPr>
              <w:t>20+ yrs</w:t>
            </w:r>
          </w:p>
        </w:tc>
        <w:tc>
          <w:tcPr>
            <w:tcW w:type="dxa" w:w="1152"/>
            <w:vAlign w:val="center"/>
            <w:shd w:fill="F7FBFF"/>
          </w:tcPr>
          <w:p>
            <w:r/>
            <w:r>
              <w:rPr>
                <w:b w:val="0"/>
                <w:sz w:val="18"/>
              </w:rPr>
              <w:t>Expert</w:t>
            </w:r>
          </w:p>
        </w:tc>
        <w:tc>
          <w:tcPr>
            <w:tcW w:type="dxa" w:w="1656"/>
            <w:vAlign w:val="center"/>
            <w:shd w:fill="F7FBFF"/>
          </w:tcPr>
          <w:p>
            <w:r/>
            <w:r>
              <w:rPr>
                <w:b w:val="0"/>
                <w:sz w:val="18"/>
              </w:rPr>
              <w:t>Ongoing</w:t>
            </w:r>
          </w:p>
        </w:tc>
        <w:tc>
          <w:tcPr>
            <w:tcW w:type="dxa" w:w="2880"/>
            <w:vAlign w:val="center"/>
            <w:shd w:fill="F7FBFF"/>
          </w:tcPr>
          <w:p>
            <w:r/>
            <w:r>
              <w:rPr>
                <w:b w:val="0"/>
                <w:sz w:val="18"/>
              </w:rPr>
              <w:t>All major engagements</w:t>
            </w:r>
          </w:p>
        </w:tc>
      </w:tr>
      <w:tr>
        <w:tc>
          <w:tcPr>
            <w:tcW w:type="dxa" w:w="2232"/>
            <w:vAlign w:val="center"/>
          </w:tcPr>
          <w:p>
            <w:r/>
            <w:r>
              <w:rPr>
                <w:b w:val="0"/>
                <w:sz w:val="18"/>
              </w:rPr>
              <w:t>Stakeholder Management</w:t>
            </w:r>
          </w:p>
        </w:tc>
        <w:tc>
          <w:tcPr>
            <w:tcW w:type="dxa" w:w="1152"/>
            <w:vAlign w:val="center"/>
          </w:tcPr>
          <w:p>
            <w:r/>
            <w:r>
              <w:rPr>
                <w:b w:val="0"/>
                <w:sz w:val="18"/>
              </w:rPr>
              <w:t>25+ yrs</w:t>
            </w:r>
          </w:p>
        </w:tc>
        <w:tc>
          <w:tcPr>
            <w:tcW w:type="dxa" w:w="1152"/>
            <w:vAlign w:val="center"/>
          </w:tcPr>
          <w:p>
            <w:r/>
            <w:r>
              <w:rPr>
                <w:b w:val="0"/>
                <w:sz w:val="18"/>
              </w:rPr>
              <w:t>Expert</w:t>
            </w:r>
          </w:p>
        </w:tc>
        <w:tc>
          <w:tcPr>
            <w:tcW w:type="dxa" w:w="1656"/>
            <w:vAlign w:val="center"/>
          </w:tcPr>
          <w:p>
            <w:r/>
            <w:r>
              <w:rPr>
                <w:b w:val="0"/>
                <w:sz w:val="18"/>
              </w:rPr>
              <w:t>Ongoing</w:t>
            </w:r>
          </w:p>
        </w:tc>
        <w:tc>
          <w:tcPr>
            <w:tcW w:type="dxa" w:w="2880"/>
            <w:vAlign w:val="center"/>
          </w:tcPr>
          <w:p>
            <w:r/>
            <w:r>
              <w:rPr>
                <w:b w:val="0"/>
                <w:sz w:val="18"/>
              </w:rPr>
              <w:t>All major engagements</w:t>
            </w:r>
          </w:p>
        </w:tc>
      </w:tr>
    </w:tbl>
    <w:p/>
    <w:p>
      <w:r>
        <w:br w:type="page"/>
      </w:r>
    </w:p>
    <w:p>
      <w:pPr>
        <w:pStyle w:val="Heading2"/>
      </w:pPr>
      <w:r>
        <w:rPr>
          <w:color w:val="203864"/>
        </w:rPr>
        <w:t>Technology Capability Matrix</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160"/>
            <w:vAlign w:val="center"/>
            <w:shd w:fill="1F4E79"/>
          </w:tcPr>
          <w:p>
            <w:r/>
            <w:r>
              <w:rPr>
                <w:b/>
                <w:color w:val="FFFFFF"/>
                <w:sz w:val="18"/>
              </w:rPr>
              <w:t>Technology</w:t>
            </w:r>
          </w:p>
        </w:tc>
        <w:tc>
          <w:tcPr>
            <w:tcW w:type="dxa" w:w="1080"/>
            <w:vAlign w:val="center"/>
            <w:shd w:fill="1F4E79"/>
          </w:tcPr>
          <w:p>
            <w:r/>
            <w:r>
              <w:rPr>
                <w:b/>
                <w:color w:val="FFFFFF"/>
                <w:sz w:val="18"/>
              </w:rPr>
              <w:t>Experience</w:t>
            </w:r>
          </w:p>
        </w:tc>
        <w:tc>
          <w:tcPr>
            <w:tcW w:type="dxa" w:w="1440"/>
            <w:vAlign w:val="center"/>
            <w:shd w:fill="1F4E79"/>
          </w:tcPr>
          <w:p>
            <w:r/>
            <w:r>
              <w:rPr>
                <w:b/>
                <w:color w:val="FFFFFF"/>
                <w:sz w:val="18"/>
              </w:rPr>
              <w:t>Expertise</w:t>
            </w:r>
          </w:p>
        </w:tc>
        <w:tc>
          <w:tcPr>
            <w:tcW w:type="dxa" w:w="5040"/>
            <w:vAlign w:val="center"/>
            <w:shd w:fill="1F4E79"/>
          </w:tcPr>
          <w:p>
            <w:r/>
            <w:r>
              <w:rPr>
                <w:b/>
                <w:color w:val="FFFFFF"/>
                <w:sz w:val="18"/>
              </w:rPr>
              <w:t>Use Case</w:t>
            </w:r>
          </w:p>
        </w:tc>
      </w:tr>
      <w:tr>
        <w:tc>
          <w:tcPr>
            <w:tcW w:type="dxa" w:w="2160"/>
            <w:vAlign w:val="center"/>
            <w:shd w:fill="F7FBFF"/>
          </w:tcPr>
          <w:p>
            <w:r/>
            <w:r>
              <w:rPr>
                <w:b w:val="0"/>
                <w:sz w:val="18"/>
              </w:rPr>
              <w:t>Azure</w:t>
            </w:r>
          </w:p>
        </w:tc>
        <w:tc>
          <w:tcPr>
            <w:tcW w:type="dxa" w:w="1080"/>
            <w:vAlign w:val="center"/>
            <w:shd w:fill="F7FBFF"/>
          </w:tcPr>
          <w:p>
            <w:r/>
            <w:r>
              <w:rPr>
                <w:b w:val="0"/>
                <w:sz w:val="18"/>
              </w:rPr>
              <w:t>8+ yrs</w:t>
            </w:r>
          </w:p>
        </w:tc>
        <w:tc>
          <w:tcPr>
            <w:tcW w:type="dxa" w:w="1440"/>
            <w:vAlign w:val="center"/>
            <w:shd w:fill="F7FBFF"/>
          </w:tcPr>
          <w:p>
            <w:r/>
            <w:r>
              <w:rPr>
                <w:b w:val="0"/>
                <w:sz w:val="18"/>
              </w:rPr>
              <w:t>Advanced</w:t>
            </w:r>
          </w:p>
        </w:tc>
        <w:tc>
          <w:tcPr>
            <w:tcW w:type="dxa" w:w="5040"/>
            <w:vAlign w:val="center"/>
            <w:shd w:fill="F7FBFF"/>
          </w:tcPr>
          <w:p>
            <w:r/>
            <w:r>
              <w:rPr>
                <w:b w:val="0"/>
                <w:sz w:val="18"/>
              </w:rPr>
              <w:t>Cloud modernization, governance, hybrid integration</w:t>
            </w:r>
          </w:p>
        </w:tc>
      </w:tr>
      <w:tr>
        <w:tc>
          <w:tcPr>
            <w:tcW w:type="dxa" w:w="2160"/>
            <w:vAlign w:val="center"/>
          </w:tcPr>
          <w:p>
            <w:r/>
            <w:r>
              <w:rPr>
                <w:b w:val="0"/>
                <w:sz w:val="18"/>
              </w:rPr>
              <w:t>AWS</w:t>
            </w:r>
          </w:p>
        </w:tc>
        <w:tc>
          <w:tcPr>
            <w:tcW w:type="dxa" w:w="1080"/>
            <w:vAlign w:val="center"/>
          </w:tcPr>
          <w:p>
            <w:r/>
            <w:r>
              <w:rPr>
                <w:b w:val="0"/>
                <w:sz w:val="18"/>
              </w:rPr>
              <w:t>7+ yrs</w:t>
            </w:r>
          </w:p>
        </w:tc>
        <w:tc>
          <w:tcPr>
            <w:tcW w:type="dxa" w:w="1440"/>
            <w:vAlign w:val="center"/>
          </w:tcPr>
          <w:p>
            <w:r/>
            <w:r>
              <w:rPr>
                <w:b w:val="0"/>
                <w:sz w:val="18"/>
              </w:rPr>
              <w:t>Advanced</w:t>
            </w:r>
          </w:p>
        </w:tc>
        <w:tc>
          <w:tcPr>
            <w:tcW w:type="dxa" w:w="5040"/>
            <w:vAlign w:val="center"/>
          </w:tcPr>
          <w:p>
            <w:r/>
            <w:r>
              <w:rPr>
                <w:b w:val="0"/>
                <w:sz w:val="18"/>
              </w:rPr>
              <w:t>Cloud modernization, backup, recovery, regulatory systems</w:t>
            </w:r>
          </w:p>
        </w:tc>
      </w:tr>
      <w:tr>
        <w:tc>
          <w:tcPr>
            <w:tcW w:type="dxa" w:w="2160"/>
            <w:vAlign w:val="center"/>
            <w:shd w:fill="F7FBFF"/>
          </w:tcPr>
          <w:p>
            <w:r/>
            <w:r>
              <w:rPr>
                <w:b w:val="0"/>
                <w:sz w:val="18"/>
              </w:rPr>
              <w:t>SharePoint Online</w:t>
            </w:r>
          </w:p>
        </w:tc>
        <w:tc>
          <w:tcPr>
            <w:tcW w:type="dxa" w:w="1080"/>
            <w:vAlign w:val="center"/>
            <w:shd w:fill="F7FBFF"/>
          </w:tcPr>
          <w:p>
            <w:r/>
            <w:r>
              <w:rPr>
                <w:b w:val="0"/>
                <w:sz w:val="18"/>
              </w:rPr>
              <w:t>6+ yrs</w:t>
            </w:r>
          </w:p>
        </w:tc>
        <w:tc>
          <w:tcPr>
            <w:tcW w:type="dxa" w:w="1440"/>
            <w:vAlign w:val="center"/>
            <w:shd w:fill="F7FBFF"/>
          </w:tcPr>
          <w:p>
            <w:r/>
            <w:r>
              <w:rPr>
                <w:b w:val="0"/>
                <w:sz w:val="18"/>
              </w:rPr>
              <w:t>Advanced</w:t>
            </w:r>
          </w:p>
        </w:tc>
        <w:tc>
          <w:tcPr>
            <w:tcW w:type="dxa" w:w="5040"/>
            <w:vAlign w:val="center"/>
            <w:shd w:fill="F7FBFF"/>
          </w:tcPr>
          <w:p>
            <w:r/>
            <w:r>
              <w:rPr>
                <w:b w:val="0"/>
                <w:sz w:val="18"/>
              </w:rPr>
              <w:t>Migration, information architecture, permissions</w:t>
            </w:r>
          </w:p>
        </w:tc>
      </w:tr>
      <w:tr>
        <w:tc>
          <w:tcPr>
            <w:tcW w:type="dxa" w:w="2160"/>
            <w:vAlign w:val="center"/>
          </w:tcPr>
          <w:p>
            <w:r/>
            <w:r>
              <w:rPr>
                <w:b w:val="0"/>
                <w:sz w:val="18"/>
              </w:rPr>
              <w:t>Dynamics 365</w:t>
            </w:r>
          </w:p>
        </w:tc>
        <w:tc>
          <w:tcPr>
            <w:tcW w:type="dxa" w:w="1080"/>
            <w:vAlign w:val="center"/>
          </w:tcPr>
          <w:p>
            <w:r/>
            <w:r>
              <w:rPr>
                <w:b w:val="0"/>
                <w:sz w:val="18"/>
              </w:rPr>
              <w:t>5+ yrs</w:t>
            </w:r>
          </w:p>
        </w:tc>
        <w:tc>
          <w:tcPr>
            <w:tcW w:type="dxa" w:w="1440"/>
            <w:vAlign w:val="center"/>
          </w:tcPr>
          <w:p>
            <w:r/>
            <w:r>
              <w:rPr>
                <w:b w:val="0"/>
                <w:sz w:val="18"/>
              </w:rPr>
              <w:t>Advanced</w:t>
            </w:r>
          </w:p>
        </w:tc>
        <w:tc>
          <w:tcPr>
            <w:tcW w:type="dxa" w:w="5040"/>
            <w:vAlign w:val="center"/>
          </w:tcPr>
          <w:p>
            <w:r/>
            <w:r>
              <w:rPr>
                <w:b w:val="0"/>
                <w:sz w:val="18"/>
              </w:rPr>
              <w:t>CRM modernization and delivery oversight</w:t>
            </w:r>
          </w:p>
        </w:tc>
      </w:tr>
      <w:tr>
        <w:tc>
          <w:tcPr>
            <w:tcW w:type="dxa" w:w="2160"/>
            <w:vAlign w:val="center"/>
            <w:shd w:fill="F7FBFF"/>
          </w:tcPr>
          <w:p>
            <w:r/>
            <w:r>
              <w:rPr>
                <w:b w:val="0"/>
                <w:sz w:val="18"/>
              </w:rPr>
              <w:t>Salesforce</w:t>
            </w:r>
          </w:p>
        </w:tc>
        <w:tc>
          <w:tcPr>
            <w:tcW w:type="dxa" w:w="1080"/>
            <w:vAlign w:val="center"/>
            <w:shd w:fill="F7FBFF"/>
          </w:tcPr>
          <w:p>
            <w:r/>
            <w:r>
              <w:rPr>
                <w:b w:val="0"/>
                <w:sz w:val="18"/>
              </w:rPr>
              <w:t>4+ yrs</w:t>
            </w:r>
          </w:p>
        </w:tc>
        <w:tc>
          <w:tcPr>
            <w:tcW w:type="dxa" w:w="1440"/>
            <w:vAlign w:val="center"/>
            <w:shd w:fill="F7FBFF"/>
          </w:tcPr>
          <w:p>
            <w:r/>
            <w:r>
              <w:rPr>
                <w:b w:val="0"/>
                <w:sz w:val="18"/>
              </w:rPr>
              <w:t>Intermediate-Advanced</w:t>
            </w:r>
          </w:p>
        </w:tc>
        <w:tc>
          <w:tcPr>
            <w:tcW w:type="dxa" w:w="5040"/>
            <w:vAlign w:val="center"/>
            <w:shd w:fill="F7FBFF"/>
          </w:tcPr>
          <w:p>
            <w:r/>
            <w:r>
              <w:rPr>
                <w:b w:val="0"/>
                <w:sz w:val="18"/>
              </w:rPr>
              <w:t>CRM delivery and stakeholder coordination</w:t>
            </w:r>
          </w:p>
        </w:tc>
      </w:tr>
      <w:tr>
        <w:tc>
          <w:tcPr>
            <w:tcW w:type="dxa" w:w="2160"/>
            <w:vAlign w:val="center"/>
          </w:tcPr>
          <w:p>
            <w:r/>
            <w:r>
              <w:rPr>
                <w:b w:val="0"/>
                <w:sz w:val="18"/>
              </w:rPr>
              <w:t>ServiceNow</w:t>
            </w:r>
          </w:p>
        </w:tc>
        <w:tc>
          <w:tcPr>
            <w:tcW w:type="dxa" w:w="1080"/>
            <w:vAlign w:val="center"/>
          </w:tcPr>
          <w:p>
            <w:r/>
            <w:r>
              <w:rPr>
                <w:b w:val="0"/>
                <w:sz w:val="18"/>
              </w:rPr>
              <w:t>4+ yrs</w:t>
            </w:r>
          </w:p>
        </w:tc>
        <w:tc>
          <w:tcPr>
            <w:tcW w:type="dxa" w:w="1440"/>
            <w:vAlign w:val="center"/>
          </w:tcPr>
          <w:p>
            <w:r/>
            <w:r>
              <w:rPr>
                <w:b w:val="0"/>
                <w:sz w:val="18"/>
              </w:rPr>
              <w:t>Intermediate-Advanced</w:t>
            </w:r>
          </w:p>
        </w:tc>
        <w:tc>
          <w:tcPr>
            <w:tcW w:type="dxa" w:w="5040"/>
            <w:vAlign w:val="center"/>
          </w:tcPr>
          <w:p>
            <w:r/>
            <w:r>
              <w:rPr>
                <w:b w:val="0"/>
                <w:sz w:val="18"/>
              </w:rPr>
              <w:t>ITSM transformation and workflow governance</w:t>
            </w:r>
          </w:p>
        </w:tc>
      </w:tr>
      <w:tr>
        <w:tc>
          <w:tcPr>
            <w:tcW w:type="dxa" w:w="2160"/>
            <w:vAlign w:val="center"/>
            <w:shd w:fill="F7FBFF"/>
          </w:tcPr>
          <w:p>
            <w:r/>
            <w:r>
              <w:rPr>
                <w:b w:val="0"/>
                <w:sz w:val="18"/>
              </w:rPr>
              <w:t>Azure DevOps</w:t>
            </w:r>
          </w:p>
        </w:tc>
        <w:tc>
          <w:tcPr>
            <w:tcW w:type="dxa" w:w="1080"/>
            <w:vAlign w:val="center"/>
            <w:shd w:fill="F7FBFF"/>
          </w:tcPr>
          <w:p>
            <w:r/>
            <w:r>
              <w:rPr>
                <w:b w:val="0"/>
                <w:sz w:val="18"/>
              </w:rPr>
              <w:t>6+ yrs</w:t>
            </w:r>
          </w:p>
        </w:tc>
        <w:tc>
          <w:tcPr>
            <w:tcW w:type="dxa" w:w="1440"/>
            <w:vAlign w:val="center"/>
            <w:shd w:fill="F7FBFF"/>
          </w:tcPr>
          <w:p>
            <w:r/>
            <w:r>
              <w:rPr>
                <w:b w:val="0"/>
                <w:sz w:val="18"/>
              </w:rPr>
              <w:t>Advanced</w:t>
            </w:r>
          </w:p>
        </w:tc>
        <w:tc>
          <w:tcPr>
            <w:tcW w:type="dxa" w:w="5040"/>
            <w:vAlign w:val="center"/>
            <w:shd w:fill="F7FBFF"/>
          </w:tcPr>
          <w:p>
            <w:r/>
            <w:r>
              <w:rPr>
                <w:b w:val="0"/>
                <w:sz w:val="18"/>
              </w:rPr>
              <w:t>Agile tracking, dashboards, release management</w:t>
            </w:r>
          </w:p>
        </w:tc>
      </w:tr>
      <w:tr>
        <w:tc>
          <w:tcPr>
            <w:tcW w:type="dxa" w:w="2160"/>
            <w:vAlign w:val="center"/>
          </w:tcPr>
          <w:p>
            <w:r/>
            <w:r>
              <w:rPr>
                <w:b w:val="0"/>
                <w:sz w:val="18"/>
              </w:rPr>
              <w:t>Microsoft 365</w:t>
            </w:r>
          </w:p>
        </w:tc>
        <w:tc>
          <w:tcPr>
            <w:tcW w:type="dxa" w:w="1080"/>
            <w:vAlign w:val="center"/>
          </w:tcPr>
          <w:p>
            <w:r/>
            <w:r>
              <w:rPr>
                <w:b w:val="0"/>
                <w:sz w:val="18"/>
              </w:rPr>
              <w:t>8+ yrs</w:t>
            </w:r>
          </w:p>
        </w:tc>
        <w:tc>
          <w:tcPr>
            <w:tcW w:type="dxa" w:w="1440"/>
            <w:vAlign w:val="center"/>
          </w:tcPr>
          <w:p>
            <w:r/>
            <w:r>
              <w:rPr>
                <w:b w:val="0"/>
                <w:sz w:val="18"/>
              </w:rPr>
              <w:t>Advanced</w:t>
            </w:r>
          </w:p>
        </w:tc>
        <w:tc>
          <w:tcPr>
            <w:tcW w:type="dxa" w:w="5040"/>
            <w:vAlign w:val="center"/>
          </w:tcPr>
          <w:p>
            <w:r/>
            <w:r>
              <w:rPr>
                <w:b w:val="0"/>
                <w:sz w:val="18"/>
              </w:rPr>
              <w:t>Collaboration and productivity platforms</w:t>
            </w:r>
          </w:p>
        </w:tc>
      </w:tr>
      <w:tr>
        <w:tc>
          <w:tcPr>
            <w:tcW w:type="dxa" w:w="2160"/>
            <w:vAlign w:val="center"/>
            <w:shd w:fill="F7FBFF"/>
          </w:tcPr>
          <w:p>
            <w:r/>
            <w:r>
              <w:rPr>
                <w:b w:val="0"/>
                <w:sz w:val="18"/>
              </w:rPr>
              <w:t>Power Platform</w:t>
            </w:r>
          </w:p>
        </w:tc>
        <w:tc>
          <w:tcPr>
            <w:tcW w:type="dxa" w:w="1080"/>
            <w:vAlign w:val="center"/>
            <w:shd w:fill="F7FBFF"/>
          </w:tcPr>
          <w:p>
            <w:r/>
            <w:r>
              <w:rPr>
                <w:b w:val="0"/>
                <w:sz w:val="18"/>
              </w:rPr>
              <w:t>4+ yrs</w:t>
            </w:r>
          </w:p>
        </w:tc>
        <w:tc>
          <w:tcPr>
            <w:tcW w:type="dxa" w:w="1440"/>
            <w:vAlign w:val="center"/>
            <w:shd w:fill="F7FBFF"/>
          </w:tcPr>
          <w:p>
            <w:r/>
            <w:r>
              <w:rPr>
                <w:b w:val="0"/>
                <w:sz w:val="18"/>
              </w:rPr>
              <w:t>Intermediate-Advanced</w:t>
            </w:r>
          </w:p>
        </w:tc>
        <w:tc>
          <w:tcPr>
            <w:tcW w:type="dxa" w:w="5040"/>
            <w:vAlign w:val="center"/>
            <w:shd w:fill="F7FBFF"/>
          </w:tcPr>
          <w:p>
            <w:r/>
            <w:r>
              <w:rPr>
                <w:b w:val="0"/>
                <w:sz w:val="18"/>
              </w:rPr>
              <w:t>Power Apps and workflow automation oversight</w:t>
            </w:r>
          </w:p>
        </w:tc>
      </w:tr>
      <w:tr>
        <w:tc>
          <w:tcPr>
            <w:tcW w:type="dxa" w:w="2160"/>
            <w:vAlign w:val="center"/>
          </w:tcPr>
          <w:p>
            <w:r/>
            <w:r>
              <w:rPr>
                <w:b w:val="0"/>
                <w:sz w:val="18"/>
              </w:rPr>
              <w:t>VMware / Nutanix</w:t>
            </w:r>
          </w:p>
        </w:tc>
        <w:tc>
          <w:tcPr>
            <w:tcW w:type="dxa" w:w="1080"/>
            <w:vAlign w:val="center"/>
          </w:tcPr>
          <w:p>
            <w:r/>
            <w:r>
              <w:rPr>
                <w:b w:val="0"/>
                <w:sz w:val="18"/>
              </w:rPr>
              <w:t>5+ yrs</w:t>
            </w:r>
          </w:p>
        </w:tc>
        <w:tc>
          <w:tcPr>
            <w:tcW w:type="dxa" w:w="1440"/>
            <w:vAlign w:val="center"/>
          </w:tcPr>
          <w:p>
            <w:r/>
            <w:r>
              <w:rPr>
                <w:b w:val="0"/>
                <w:sz w:val="18"/>
              </w:rPr>
              <w:t>Advanced</w:t>
            </w:r>
          </w:p>
        </w:tc>
        <w:tc>
          <w:tcPr>
            <w:tcW w:type="dxa" w:w="5040"/>
            <w:vAlign w:val="center"/>
          </w:tcPr>
          <w:p>
            <w:r/>
            <w:r>
              <w:rPr>
                <w:b w:val="0"/>
                <w:sz w:val="18"/>
              </w:rPr>
              <w:t>Virtualization and converged infrastructure</w:t>
            </w:r>
          </w:p>
        </w:tc>
      </w:tr>
      <w:tr>
        <w:tc>
          <w:tcPr>
            <w:tcW w:type="dxa" w:w="2160"/>
            <w:vAlign w:val="center"/>
            <w:shd w:fill="F7FBFF"/>
          </w:tcPr>
          <w:p>
            <w:r/>
            <w:r>
              <w:rPr>
                <w:b w:val="0"/>
                <w:sz w:val="18"/>
              </w:rPr>
              <w:t>SQL / Oracle</w:t>
            </w:r>
          </w:p>
        </w:tc>
        <w:tc>
          <w:tcPr>
            <w:tcW w:type="dxa" w:w="1080"/>
            <w:vAlign w:val="center"/>
            <w:shd w:fill="F7FBFF"/>
          </w:tcPr>
          <w:p>
            <w:r/>
            <w:r>
              <w:rPr>
                <w:b w:val="0"/>
                <w:sz w:val="18"/>
              </w:rPr>
              <w:t>15+ yrs</w:t>
            </w:r>
          </w:p>
        </w:tc>
        <w:tc>
          <w:tcPr>
            <w:tcW w:type="dxa" w:w="1440"/>
            <w:vAlign w:val="center"/>
            <w:shd w:fill="F7FBFF"/>
          </w:tcPr>
          <w:p>
            <w:r/>
            <w:r>
              <w:rPr>
                <w:b w:val="0"/>
                <w:sz w:val="18"/>
              </w:rPr>
              <w:t>Advanced</w:t>
            </w:r>
          </w:p>
        </w:tc>
        <w:tc>
          <w:tcPr>
            <w:tcW w:type="dxa" w:w="5040"/>
            <w:vAlign w:val="center"/>
            <w:shd w:fill="F7FBFF"/>
          </w:tcPr>
          <w:p>
            <w:r/>
            <w:r>
              <w:rPr>
                <w:b w:val="0"/>
                <w:sz w:val="18"/>
              </w:rPr>
              <w:t>Data migration, reporting and database integration</w:t>
            </w:r>
          </w:p>
        </w:tc>
      </w:tr>
      <w:tr>
        <w:tc>
          <w:tcPr>
            <w:tcW w:type="dxa" w:w="2160"/>
            <w:vAlign w:val="center"/>
          </w:tcPr>
          <w:p>
            <w:r/>
            <w:r>
              <w:rPr>
                <w:b w:val="0"/>
                <w:sz w:val="18"/>
              </w:rPr>
              <w:t>Firewalls / VPN</w:t>
            </w:r>
          </w:p>
        </w:tc>
        <w:tc>
          <w:tcPr>
            <w:tcW w:type="dxa" w:w="1080"/>
            <w:vAlign w:val="center"/>
          </w:tcPr>
          <w:p>
            <w:r/>
            <w:r>
              <w:rPr>
                <w:b w:val="0"/>
                <w:sz w:val="18"/>
              </w:rPr>
              <w:t>15+ yrs</w:t>
            </w:r>
          </w:p>
        </w:tc>
        <w:tc>
          <w:tcPr>
            <w:tcW w:type="dxa" w:w="1440"/>
            <w:vAlign w:val="center"/>
          </w:tcPr>
          <w:p>
            <w:r/>
            <w:r>
              <w:rPr>
                <w:b w:val="0"/>
                <w:sz w:val="18"/>
              </w:rPr>
              <w:t>Advanced</w:t>
            </w:r>
          </w:p>
        </w:tc>
        <w:tc>
          <w:tcPr>
            <w:tcW w:type="dxa" w:w="5040"/>
            <w:vAlign w:val="center"/>
          </w:tcPr>
          <w:p>
            <w:r/>
            <w:r>
              <w:rPr>
                <w:b w:val="0"/>
                <w:sz w:val="18"/>
              </w:rPr>
              <w:t>Security infrastructure and network protection</w:t>
            </w:r>
          </w:p>
        </w:tc>
      </w:tr>
    </w:tbl>
    <w:p/>
    <w:p>
      <w:pPr>
        <w:pStyle w:val="Heading2"/>
      </w:pPr>
      <w:r>
        <w:rPr>
          <w:color w:val="203864"/>
        </w:rPr>
        <w:t>Government of Canada Experience Matrix</w:t>
      </w:r>
    </w:p>
    <w:tbl>
      <w:tblPr>
        <w:tblStyle w:val="TableGrid"/>
        <w:tblW w:type="auto" w:w="0"/>
        <w:jc w:val="center"/>
        <w:tblLook w:firstColumn="1" w:firstRow="1" w:lastColumn="0" w:lastRow="0" w:noHBand="0" w:noVBand="1" w:val="04A0"/>
      </w:tblPr>
      <w:tblGrid>
        <w:gridCol w:w="5184"/>
        <w:gridCol w:w="5184"/>
      </w:tblGrid>
      <w:tr>
        <w:tc>
          <w:tcPr>
            <w:tcW w:type="dxa" w:w="3024"/>
            <w:vAlign w:val="center"/>
            <w:shd w:fill="1F4E79"/>
          </w:tcPr>
          <w:p>
            <w:r/>
            <w:r>
              <w:rPr>
                <w:b/>
                <w:color w:val="FFFFFF"/>
                <w:sz w:val="18"/>
              </w:rPr>
              <w:t>Government Organization</w:t>
            </w:r>
          </w:p>
        </w:tc>
        <w:tc>
          <w:tcPr>
            <w:tcW w:type="dxa" w:w="6912"/>
            <w:vAlign w:val="center"/>
            <w:shd w:fill="1F4E79"/>
          </w:tcPr>
          <w:p>
            <w:r/>
            <w:r>
              <w:rPr>
                <w:b/>
                <w:color w:val="FFFFFF"/>
                <w:sz w:val="18"/>
              </w:rPr>
              <w:t>Representative Capability</w:t>
            </w:r>
          </w:p>
        </w:tc>
      </w:tr>
      <w:tr>
        <w:tc>
          <w:tcPr>
            <w:tcW w:type="dxa" w:w="3024"/>
            <w:vAlign w:val="center"/>
            <w:shd w:fill="F7FBFF"/>
          </w:tcPr>
          <w:p>
            <w:r/>
            <w:r>
              <w:rPr>
                <w:b w:val="0"/>
                <w:sz w:val="18"/>
              </w:rPr>
              <w:t>National Defence</w:t>
            </w:r>
          </w:p>
        </w:tc>
        <w:tc>
          <w:tcPr>
            <w:tcW w:type="dxa" w:w="6912"/>
            <w:vAlign w:val="center"/>
            <w:shd w:fill="F7FBFF"/>
          </w:tcPr>
          <w:p>
            <w:r/>
            <w:r>
              <w:rPr>
                <w:b w:val="0"/>
                <w:sz w:val="18"/>
              </w:rPr>
              <w:t>EA governance, RBAC, case management modernization, security and privacy alignment</w:t>
            </w:r>
          </w:p>
        </w:tc>
      </w:tr>
      <w:tr>
        <w:tc>
          <w:tcPr>
            <w:tcW w:type="dxa" w:w="3024"/>
            <w:vAlign w:val="center"/>
          </w:tcPr>
          <w:p>
            <w:r/>
            <w:r>
              <w:rPr>
                <w:b w:val="0"/>
                <w:sz w:val="18"/>
              </w:rPr>
              <w:t>Global Affairs Canada</w:t>
            </w:r>
          </w:p>
        </w:tc>
        <w:tc>
          <w:tcPr>
            <w:tcW w:type="dxa" w:w="6912"/>
            <w:vAlign w:val="center"/>
          </w:tcPr>
          <w:p>
            <w:r/>
            <w:r>
              <w:rPr>
                <w:b w:val="0"/>
                <w:sz w:val="18"/>
              </w:rPr>
              <w:t>SharePoint Online / Sphere migration, information architecture and stakeholder workshops</w:t>
            </w:r>
          </w:p>
        </w:tc>
      </w:tr>
      <w:tr>
        <w:tc>
          <w:tcPr>
            <w:tcW w:type="dxa" w:w="3024"/>
            <w:vAlign w:val="center"/>
            <w:shd w:fill="F7FBFF"/>
          </w:tcPr>
          <w:p>
            <w:r/>
            <w:r>
              <w:rPr>
                <w:b w:val="0"/>
                <w:sz w:val="18"/>
              </w:rPr>
              <w:t>Atlantic Canada Opportunities Agency</w:t>
            </w:r>
          </w:p>
        </w:tc>
        <w:tc>
          <w:tcPr>
            <w:tcW w:type="dxa" w:w="6912"/>
            <w:vAlign w:val="center"/>
            <w:shd w:fill="F7FBFF"/>
          </w:tcPr>
          <w:p>
            <w:r/>
            <w:r>
              <w:rPr>
                <w:b w:val="0"/>
                <w:sz w:val="18"/>
              </w:rPr>
              <w:t>Agile delivery, Dynamics 365 CRM, NexGen portal and Azure DevOps</w:t>
            </w:r>
          </w:p>
        </w:tc>
      </w:tr>
      <w:tr>
        <w:tc>
          <w:tcPr>
            <w:tcW w:type="dxa" w:w="3024"/>
            <w:vAlign w:val="center"/>
          </w:tcPr>
          <w:p>
            <w:r/>
            <w:r>
              <w:rPr>
                <w:b w:val="0"/>
                <w:sz w:val="18"/>
              </w:rPr>
              <w:t>Environment and Climate Change Canada</w:t>
            </w:r>
          </w:p>
        </w:tc>
        <w:tc>
          <w:tcPr>
            <w:tcW w:type="dxa" w:w="6912"/>
            <w:vAlign w:val="center"/>
          </w:tcPr>
          <w:p>
            <w:r/>
            <w:r>
              <w:rPr>
                <w:b w:val="0"/>
                <w:sz w:val="18"/>
              </w:rPr>
              <w:t>Regulatory systems, Azure, AWS, Power Platform, PMAC governance</w:t>
            </w:r>
          </w:p>
        </w:tc>
      </w:tr>
      <w:tr>
        <w:tc>
          <w:tcPr>
            <w:tcW w:type="dxa" w:w="3024"/>
            <w:vAlign w:val="center"/>
            <w:shd w:fill="F7FBFF"/>
          </w:tcPr>
          <w:p>
            <w:r/>
            <w:r>
              <w:rPr>
                <w:b w:val="0"/>
                <w:sz w:val="18"/>
              </w:rPr>
              <w:t>Shared Services Canada</w:t>
            </w:r>
          </w:p>
        </w:tc>
        <w:tc>
          <w:tcPr>
            <w:tcW w:type="dxa" w:w="6912"/>
            <w:vAlign w:val="center"/>
            <w:shd w:fill="F7FBFF"/>
          </w:tcPr>
          <w:p>
            <w:r/>
            <w:r>
              <w:rPr>
                <w:b w:val="0"/>
                <w:sz w:val="18"/>
              </w:rPr>
              <w:t>Data centre, networking, DDI, IPv6, NTP, cloud and infrastructure modernization</w:t>
            </w:r>
          </w:p>
        </w:tc>
      </w:tr>
      <w:tr>
        <w:tc>
          <w:tcPr>
            <w:tcW w:type="dxa" w:w="3024"/>
            <w:vAlign w:val="center"/>
          </w:tcPr>
          <w:p>
            <w:r/>
            <w:r>
              <w:rPr>
                <w:b w:val="0"/>
                <w:sz w:val="18"/>
              </w:rPr>
              <w:t>Health Canada</w:t>
            </w:r>
          </w:p>
        </w:tc>
        <w:tc>
          <w:tcPr>
            <w:tcW w:type="dxa" w:w="6912"/>
            <w:vAlign w:val="center"/>
          </w:tcPr>
          <w:p>
            <w:r/>
            <w:r>
              <w:rPr>
                <w:b w:val="0"/>
                <w:sz w:val="18"/>
              </w:rPr>
              <w:t>Critical systems, IT security, application support, GCKey, RADAR, NHPD and ITSM</w:t>
            </w:r>
          </w:p>
        </w:tc>
      </w:tr>
      <w:tr>
        <w:tc>
          <w:tcPr>
            <w:tcW w:type="dxa" w:w="3024"/>
            <w:vAlign w:val="center"/>
            <w:shd w:fill="F7FBFF"/>
          </w:tcPr>
          <w:p>
            <w:r/>
            <w:r>
              <w:rPr>
                <w:b w:val="0"/>
                <w:sz w:val="18"/>
              </w:rPr>
              <w:t>Public Works and Government Services Canada</w:t>
            </w:r>
          </w:p>
        </w:tc>
        <w:tc>
          <w:tcPr>
            <w:tcW w:type="dxa" w:w="6912"/>
            <w:vAlign w:val="center"/>
            <w:shd w:fill="F7FBFF"/>
          </w:tcPr>
          <w:p>
            <w:r/>
            <w:r>
              <w:rPr>
                <w:b w:val="0"/>
                <w:sz w:val="18"/>
              </w:rPr>
              <w:t>Firewall migration, telecommunications and shared services transition</w:t>
            </w:r>
          </w:p>
        </w:tc>
      </w:tr>
      <w:tr>
        <w:tc>
          <w:tcPr>
            <w:tcW w:type="dxa" w:w="3024"/>
            <w:vAlign w:val="center"/>
          </w:tcPr>
          <w:p>
            <w:r/>
            <w:r>
              <w:rPr>
                <w:b w:val="0"/>
                <w:sz w:val="18"/>
              </w:rPr>
              <w:t>NRC / ISED / ESDC / CRA / CBSA exposure</w:t>
            </w:r>
          </w:p>
        </w:tc>
        <w:tc>
          <w:tcPr>
            <w:tcW w:type="dxa" w:w="6912"/>
            <w:vAlign w:val="center"/>
          </w:tcPr>
          <w:p>
            <w:r/>
            <w:r>
              <w:rPr>
                <w:b w:val="0"/>
                <w:sz w:val="18"/>
              </w:rPr>
              <w:t>Infrastructure, network capacity, DDI, NTP, and enterprise connectivity initiatives</w:t>
            </w:r>
          </w:p>
        </w:tc>
      </w:tr>
    </w:tbl>
    <w:p/>
    <w:p>
      <w:pPr>
        <w:pStyle w:val="Heading2"/>
      </w:pPr>
      <w:r>
        <w:rPr>
          <w:color w:val="203864"/>
        </w:rPr>
        <w:t>Certification and Professional Designation Matrix</w:t>
      </w:r>
    </w:p>
    <w:tbl>
      <w:tblPr>
        <w:tblStyle w:val="TableGrid"/>
        <w:tblW w:type="auto" w:w="0"/>
        <w:jc w:val="center"/>
        <w:tblLook w:firstColumn="1" w:firstRow="1" w:lastColumn="0" w:lastRow="0" w:noHBand="0" w:noVBand="1" w:val="04A0"/>
      </w:tblPr>
      <w:tblGrid>
        <w:gridCol w:w="5184"/>
        <w:gridCol w:w="5184"/>
      </w:tblGrid>
      <w:tr>
        <w:tc>
          <w:tcPr>
            <w:tcW w:type="dxa" w:w="2160"/>
            <w:vAlign w:val="center"/>
            <w:shd w:fill="1F4E79"/>
          </w:tcPr>
          <w:p>
            <w:r/>
            <w:r>
              <w:rPr>
                <w:b/>
                <w:color w:val="FFFFFF"/>
                <w:sz w:val="18"/>
              </w:rPr>
              <w:t>Certification / Designation</w:t>
            </w:r>
          </w:p>
        </w:tc>
        <w:tc>
          <w:tcPr>
            <w:tcW w:type="dxa" w:w="7776"/>
            <w:vAlign w:val="center"/>
            <w:shd w:fill="1F4E79"/>
          </w:tcPr>
          <w:p>
            <w:r/>
            <w:r>
              <w:rPr>
                <w:b/>
                <w:color w:val="FFFFFF"/>
                <w:sz w:val="18"/>
              </w:rPr>
              <w:t>Mapped Capability</w:t>
            </w:r>
          </w:p>
        </w:tc>
      </w:tr>
      <w:tr>
        <w:tc>
          <w:tcPr>
            <w:tcW w:type="dxa" w:w="2160"/>
            <w:vAlign w:val="center"/>
            <w:shd w:fill="F7FBFF"/>
          </w:tcPr>
          <w:p>
            <w:r/>
            <w:r>
              <w:rPr>
                <w:b w:val="0"/>
                <w:sz w:val="18"/>
              </w:rPr>
              <w:t>PMP</w:t>
            </w:r>
          </w:p>
        </w:tc>
        <w:tc>
          <w:tcPr>
            <w:tcW w:type="dxa" w:w="7776"/>
            <w:vAlign w:val="center"/>
            <w:shd w:fill="F7FBFF"/>
          </w:tcPr>
          <w:p>
            <w:r/>
            <w:r>
              <w:rPr>
                <w:b w:val="0"/>
                <w:sz w:val="18"/>
              </w:rPr>
              <w:t>Project leadership, PMBOK governance, planning, schedule, risk and stakeholder management</w:t>
            </w:r>
          </w:p>
        </w:tc>
      </w:tr>
      <w:tr>
        <w:tc>
          <w:tcPr>
            <w:tcW w:type="dxa" w:w="2160"/>
            <w:vAlign w:val="center"/>
          </w:tcPr>
          <w:p>
            <w:r/>
            <w:r>
              <w:rPr>
                <w:b w:val="0"/>
                <w:sz w:val="18"/>
              </w:rPr>
              <w:t>PMI-ACP</w:t>
            </w:r>
          </w:p>
        </w:tc>
        <w:tc>
          <w:tcPr>
            <w:tcW w:type="dxa" w:w="7776"/>
            <w:vAlign w:val="center"/>
          </w:tcPr>
          <w:p>
            <w:r/>
            <w:r>
              <w:rPr>
                <w:b w:val="0"/>
                <w:sz w:val="18"/>
              </w:rPr>
              <w:t>Agile delivery, Scrum, Kanban, backlog management and iterative delivery</w:t>
            </w:r>
          </w:p>
        </w:tc>
      </w:tr>
      <w:tr>
        <w:tc>
          <w:tcPr>
            <w:tcW w:type="dxa" w:w="2160"/>
            <w:vAlign w:val="center"/>
            <w:shd w:fill="F7FBFF"/>
          </w:tcPr>
          <w:p>
            <w:r/>
            <w:r>
              <w:rPr>
                <w:b w:val="0"/>
                <w:sz w:val="18"/>
              </w:rPr>
              <w:t>TOGAF</w:t>
            </w:r>
          </w:p>
        </w:tc>
        <w:tc>
          <w:tcPr>
            <w:tcW w:type="dxa" w:w="7776"/>
            <w:vAlign w:val="center"/>
            <w:shd w:fill="F7FBFF"/>
          </w:tcPr>
          <w:p>
            <w:r/>
            <w:r>
              <w:rPr>
                <w:b w:val="0"/>
                <w:sz w:val="18"/>
              </w:rPr>
              <w:t>Enterprise architecture, governance, roadmaps and architecture review processes</w:t>
            </w:r>
          </w:p>
        </w:tc>
      </w:tr>
      <w:tr>
        <w:tc>
          <w:tcPr>
            <w:tcW w:type="dxa" w:w="2160"/>
            <w:vAlign w:val="center"/>
          </w:tcPr>
          <w:p>
            <w:r/>
            <w:r>
              <w:rPr>
                <w:b w:val="0"/>
                <w:sz w:val="18"/>
              </w:rPr>
              <w:t>CISSP / CCSP</w:t>
            </w:r>
          </w:p>
        </w:tc>
        <w:tc>
          <w:tcPr>
            <w:tcW w:type="dxa" w:w="7776"/>
            <w:vAlign w:val="center"/>
          </w:tcPr>
          <w:p>
            <w:r/>
            <w:r>
              <w:rPr>
                <w:b w:val="0"/>
                <w:sz w:val="18"/>
              </w:rPr>
              <w:t>Security governance, cloud security, risk, compliance and privacy alignment</w:t>
            </w:r>
          </w:p>
        </w:tc>
      </w:tr>
      <w:tr>
        <w:tc>
          <w:tcPr>
            <w:tcW w:type="dxa" w:w="2160"/>
            <w:vAlign w:val="center"/>
            <w:shd w:fill="F7FBFF"/>
          </w:tcPr>
          <w:p>
            <w:r/>
            <w:r>
              <w:rPr>
                <w:b w:val="0"/>
                <w:sz w:val="18"/>
              </w:rPr>
              <w:t>CSM</w:t>
            </w:r>
          </w:p>
        </w:tc>
        <w:tc>
          <w:tcPr>
            <w:tcW w:type="dxa" w:w="7776"/>
            <w:vAlign w:val="center"/>
            <w:shd w:fill="F7FBFF"/>
          </w:tcPr>
          <w:p>
            <w:r/>
            <w:r>
              <w:rPr>
                <w:b w:val="0"/>
                <w:sz w:val="18"/>
              </w:rPr>
              <w:t>Scrum Master services, Agile ceremonies and team facilitation</w:t>
            </w:r>
          </w:p>
        </w:tc>
      </w:tr>
      <w:tr>
        <w:tc>
          <w:tcPr>
            <w:tcW w:type="dxa" w:w="2160"/>
            <w:vAlign w:val="center"/>
          </w:tcPr>
          <w:p>
            <w:r/>
            <w:r>
              <w:rPr>
                <w:b w:val="0"/>
                <w:sz w:val="18"/>
              </w:rPr>
              <w:t>ITIL</w:t>
            </w:r>
          </w:p>
        </w:tc>
        <w:tc>
          <w:tcPr>
            <w:tcW w:type="dxa" w:w="7776"/>
            <w:vAlign w:val="center"/>
          </w:tcPr>
          <w:p>
            <w:r/>
            <w:r>
              <w:rPr>
                <w:b w:val="0"/>
                <w:sz w:val="18"/>
              </w:rPr>
              <w:t>Service management, change, release, incident, problem and operational transition</w:t>
            </w:r>
          </w:p>
        </w:tc>
      </w:tr>
      <w:tr>
        <w:tc>
          <w:tcPr>
            <w:tcW w:type="dxa" w:w="2160"/>
            <w:vAlign w:val="center"/>
            <w:shd w:fill="F7FBFF"/>
          </w:tcPr>
          <w:p>
            <w:r/>
            <w:r>
              <w:rPr>
                <w:b w:val="0"/>
                <w:sz w:val="18"/>
              </w:rPr>
              <w:t>I.S.P. / ITCP / IP3P</w:t>
            </w:r>
          </w:p>
        </w:tc>
        <w:tc>
          <w:tcPr>
            <w:tcW w:type="dxa" w:w="7776"/>
            <w:vAlign w:val="center"/>
            <w:shd w:fill="F7FBFF"/>
          </w:tcPr>
          <w:p>
            <w:r/>
            <w:r>
              <w:rPr>
                <w:b w:val="0"/>
                <w:sz w:val="18"/>
              </w:rPr>
              <w:t>Professional IT governance, ethics, Canadian IT practice and international professionalism</w:t>
            </w:r>
          </w:p>
        </w:tc>
      </w:tr>
    </w:tbl>
    <w:p/>
    <w:p>
      <w:pPr>
        <w:pStyle w:val="Heading1"/>
      </w:pPr>
      <w:r>
        <w:rPr>
          <w:color w:val="203864"/>
        </w:rPr>
        <w:t>3. Delivery Methodology</w:t>
      </w:r>
    </w:p>
    <w:p>
      <w:r>
        <w:t>PMP-IT Consulting uses a structured, executive-friendly delivery methodology that combines PMBOK governance, Agile execution, TOGAF architecture thinking, ITIL service management, cybersecurity governance, and practical Government of Canada project delivery experience. The methodology is scalable and can be applied to small advisory engagements or multi-year transformation programs.</w:t>
      </w:r>
    </w:p>
    <w:tbl>
      <w:tblPr>
        <w:tblStyle w:val="TableGrid"/>
        <w:tblW w:type="auto" w:w="0"/>
        <w:jc w:val="center"/>
        <w:tblLook w:firstColumn="1" w:firstRow="1" w:lastColumn="0" w:lastRow="0" w:noHBand="0" w:noVBand="1" w:val="04A0"/>
      </w:tblPr>
      <w:tblGrid>
        <w:gridCol w:w="3456"/>
        <w:gridCol w:w="3456"/>
        <w:gridCol w:w="3456"/>
      </w:tblGrid>
      <w:tr>
        <w:tc>
          <w:tcPr>
            <w:tcW w:type="dxa" w:w="1728"/>
            <w:vAlign w:val="center"/>
            <w:shd w:fill="1F4E79"/>
          </w:tcPr>
          <w:p>
            <w:r/>
            <w:r>
              <w:rPr>
                <w:b/>
                <w:color w:val="FFFFFF"/>
                <w:sz w:val="18"/>
              </w:rPr>
              <w:t>Phase</w:t>
            </w:r>
          </w:p>
        </w:tc>
        <w:tc>
          <w:tcPr>
            <w:tcW w:type="dxa" w:w="3600"/>
            <w:vAlign w:val="center"/>
            <w:shd w:fill="1F4E79"/>
          </w:tcPr>
          <w:p>
            <w:r/>
            <w:r>
              <w:rPr>
                <w:b/>
                <w:color w:val="FFFFFF"/>
                <w:sz w:val="18"/>
              </w:rPr>
              <w:t>Purpose</w:t>
            </w:r>
          </w:p>
        </w:tc>
        <w:tc>
          <w:tcPr>
            <w:tcW w:type="dxa" w:w="4608"/>
            <w:vAlign w:val="center"/>
            <w:shd w:fill="1F4E79"/>
          </w:tcPr>
          <w:p>
            <w:r/>
            <w:r>
              <w:rPr>
                <w:b/>
                <w:color w:val="FFFFFF"/>
                <w:sz w:val="18"/>
              </w:rPr>
              <w:t>Typical Deliverables</w:t>
            </w:r>
          </w:p>
        </w:tc>
      </w:tr>
      <w:tr>
        <w:tc>
          <w:tcPr>
            <w:tcW w:type="dxa" w:w="1728"/>
            <w:vAlign w:val="center"/>
            <w:shd w:fill="F7FBFF"/>
          </w:tcPr>
          <w:p>
            <w:r/>
            <w:r>
              <w:rPr>
                <w:b w:val="0"/>
                <w:sz w:val="18"/>
              </w:rPr>
              <w:t>1. Discover</w:t>
            </w:r>
          </w:p>
        </w:tc>
        <w:tc>
          <w:tcPr>
            <w:tcW w:type="dxa" w:w="3600"/>
            <w:vAlign w:val="center"/>
            <w:shd w:fill="F7FBFF"/>
          </w:tcPr>
          <w:p>
            <w:r/>
            <w:r>
              <w:rPr>
                <w:b w:val="0"/>
                <w:sz w:val="18"/>
              </w:rPr>
              <w:t>Assess current state, interview stakeholders, identify business needs and risks.</w:t>
            </w:r>
          </w:p>
        </w:tc>
        <w:tc>
          <w:tcPr>
            <w:tcW w:type="dxa" w:w="4608"/>
            <w:vAlign w:val="center"/>
            <w:shd w:fill="F7FBFF"/>
          </w:tcPr>
          <w:p>
            <w:r/>
            <w:r>
              <w:rPr>
                <w:b w:val="0"/>
                <w:sz w:val="18"/>
              </w:rPr>
              <w:t>Current-state assessment, stakeholder analysis, needs summary, opportunity statement</w:t>
            </w:r>
          </w:p>
        </w:tc>
      </w:tr>
      <w:tr>
        <w:tc>
          <w:tcPr>
            <w:tcW w:type="dxa" w:w="1728"/>
            <w:vAlign w:val="center"/>
          </w:tcPr>
          <w:p>
            <w:r/>
            <w:r>
              <w:rPr>
                <w:b w:val="0"/>
                <w:sz w:val="18"/>
              </w:rPr>
              <w:t>2. Define</w:t>
            </w:r>
          </w:p>
        </w:tc>
        <w:tc>
          <w:tcPr>
            <w:tcW w:type="dxa" w:w="3600"/>
            <w:vAlign w:val="center"/>
          </w:tcPr>
          <w:p>
            <w:r/>
            <w:r>
              <w:rPr>
                <w:b w:val="0"/>
                <w:sz w:val="18"/>
              </w:rPr>
              <w:t>Confirm vision, scope, objectives, success criteria, roadmap and governance model.</w:t>
            </w:r>
          </w:p>
        </w:tc>
        <w:tc>
          <w:tcPr>
            <w:tcW w:type="dxa" w:w="4608"/>
            <w:vAlign w:val="center"/>
          </w:tcPr>
          <w:p>
            <w:r/>
            <w:r>
              <w:rPr>
                <w:b w:val="0"/>
                <w:sz w:val="18"/>
              </w:rPr>
              <w:t>Project charter, business case, roadmap, governance framework, executive briefing</w:t>
            </w:r>
          </w:p>
        </w:tc>
      </w:tr>
      <w:tr>
        <w:tc>
          <w:tcPr>
            <w:tcW w:type="dxa" w:w="1728"/>
            <w:vAlign w:val="center"/>
            <w:shd w:fill="F7FBFF"/>
          </w:tcPr>
          <w:p>
            <w:r/>
            <w:r>
              <w:rPr>
                <w:b w:val="0"/>
                <w:sz w:val="18"/>
              </w:rPr>
              <w:t>3. Design</w:t>
            </w:r>
          </w:p>
        </w:tc>
        <w:tc>
          <w:tcPr>
            <w:tcW w:type="dxa" w:w="3600"/>
            <w:vAlign w:val="center"/>
            <w:shd w:fill="F7FBFF"/>
          </w:tcPr>
          <w:p>
            <w:r/>
            <w:r>
              <w:rPr>
                <w:b w:val="0"/>
                <w:sz w:val="18"/>
              </w:rPr>
              <w:t>Define solution architecture, requirements, security, data, process and integration design.</w:t>
            </w:r>
          </w:p>
        </w:tc>
        <w:tc>
          <w:tcPr>
            <w:tcW w:type="dxa" w:w="4608"/>
            <w:vAlign w:val="center"/>
            <w:shd w:fill="F7FBFF"/>
          </w:tcPr>
          <w:p>
            <w:r/>
            <w:r>
              <w:rPr>
                <w:b w:val="0"/>
                <w:sz w:val="18"/>
              </w:rPr>
              <w:t>BRD, FRD, architecture, process maps, risk register, implementation plan</w:t>
            </w:r>
          </w:p>
        </w:tc>
      </w:tr>
      <w:tr>
        <w:tc>
          <w:tcPr>
            <w:tcW w:type="dxa" w:w="1728"/>
            <w:vAlign w:val="center"/>
          </w:tcPr>
          <w:p>
            <w:r/>
            <w:r>
              <w:rPr>
                <w:b w:val="0"/>
                <w:sz w:val="18"/>
              </w:rPr>
              <w:t>4. Build</w:t>
            </w:r>
          </w:p>
        </w:tc>
        <w:tc>
          <w:tcPr>
            <w:tcW w:type="dxa" w:w="3600"/>
            <w:vAlign w:val="center"/>
          </w:tcPr>
          <w:p>
            <w:r/>
            <w:r>
              <w:rPr>
                <w:b w:val="0"/>
                <w:sz w:val="18"/>
              </w:rPr>
              <w:t>Manage Agile / hybrid delivery, sprints, development, configuration, testing and quality reviews.</w:t>
            </w:r>
          </w:p>
        </w:tc>
        <w:tc>
          <w:tcPr>
            <w:tcW w:type="dxa" w:w="4608"/>
            <w:vAlign w:val="center"/>
          </w:tcPr>
          <w:p>
            <w:r/>
            <w:r>
              <w:rPr>
                <w:b w:val="0"/>
                <w:sz w:val="18"/>
              </w:rPr>
              <w:t>Sprint backlog, status reports, working solution, test plan, decision logs</w:t>
            </w:r>
          </w:p>
        </w:tc>
      </w:tr>
      <w:tr>
        <w:tc>
          <w:tcPr>
            <w:tcW w:type="dxa" w:w="1728"/>
            <w:vAlign w:val="center"/>
            <w:shd w:fill="F7FBFF"/>
          </w:tcPr>
          <w:p>
            <w:r/>
            <w:r>
              <w:rPr>
                <w:b w:val="0"/>
                <w:sz w:val="18"/>
              </w:rPr>
              <w:t>5. Deploy</w:t>
            </w:r>
          </w:p>
        </w:tc>
        <w:tc>
          <w:tcPr>
            <w:tcW w:type="dxa" w:w="3600"/>
            <w:vAlign w:val="center"/>
            <w:shd w:fill="F7FBFF"/>
          </w:tcPr>
          <w:p>
            <w:r/>
            <w:r>
              <w:rPr>
                <w:b w:val="0"/>
                <w:sz w:val="18"/>
              </w:rPr>
              <w:t>Coordinate release management, training, communications, cutover and operational readiness.</w:t>
            </w:r>
          </w:p>
        </w:tc>
        <w:tc>
          <w:tcPr>
            <w:tcW w:type="dxa" w:w="4608"/>
            <w:vAlign w:val="center"/>
            <w:shd w:fill="F7FBFF"/>
          </w:tcPr>
          <w:p>
            <w:r/>
            <w:r>
              <w:rPr>
                <w:b w:val="0"/>
                <w:sz w:val="18"/>
              </w:rPr>
              <w:t>Deployment plan, training materials, transition checklist, operational readiness report</w:t>
            </w:r>
          </w:p>
        </w:tc>
      </w:tr>
      <w:tr>
        <w:tc>
          <w:tcPr>
            <w:tcW w:type="dxa" w:w="1728"/>
            <w:vAlign w:val="center"/>
          </w:tcPr>
          <w:p>
            <w:r/>
            <w:r>
              <w:rPr>
                <w:b w:val="0"/>
                <w:sz w:val="18"/>
              </w:rPr>
              <w:t>6. Operate &amp; Improve</w:t>
            </w:r>
          </w:p>
        </w:tc>
        <w:tc>
          <w:tcPr>
            <w:tcW w:type="dxa" w:w="3600"/>
            <w:vAlign w:val="center"/>
          </w:tcPr>
          <w:p>
            <w:r/>
            <w:r>
              <w:rPr>
                <w:b w:val="0"/>
                <w:sz w:val="18"/>
              </w:rPr>
              <w:t>Support transition to operations, benefits realization, monitoring and continuous improvement.</w:t>
            </w:r>
          </w:p>
        </w:tc>
        <w:tc>
          <w:tcPr>
            <w:tcW w:type="dxa" w:w="4608"/>
            <w:vAlign w:val="center"/>
          </w:tcPr>
          <w:p>
            <w:r/>
            <w:r>
              <w:rPr>
                <w:b w:val="0"/>
                <w:sz w:val="18"/>
              </w:rPr>
              <w:t>Lessons learned, benefits report, support model, improvement backlog, final close-out</w:t>
            </w:r>
          </w:p>
        </w:tc>
      </w:tr>
    </w:tbl>
    <w:p/>
    <w:p>
      <w:pPr>
        <w:pStyle w:val="Heading2"/>
      </w:pPr>
      <w:r>
        <w:rPr>
          <w:color w:val="203864"/>
        </w:rPr>
        <w:t>Delivery Governance Model</w:t>
      </w:r>
    </w:p>
    <w:p>
      <w:pPr>
        <w:pStyle w:val="ListBullet"/>
      </w:pPr>
      <w:r>
        <w:t>Executive Steering Committee for strategic decisions, escalations and governance approvals.</w:t>
      </w:r>
    </w:p>
    <w:p>
      <w:pPr>
        <w:pStyle w:val="ListBullet"/>
      </w:pPr>
      <w:r>
        <w:t>PMO oversight for standards, dashboards, stage gates, risks and portfolio alignment.</w:t>
      </w:r>
    </w:p>
    <w:p>
      <w:pPr>
        <w:pStyle w:val="ListBullet"/>
      </w:pPr>
      <w:r>
        <w:t>Weekly project team meetings to manage scope, schedule, issues, risks and dependencies.</w:t>
      </w:r>
    </w:p>
    <w:p>
      <w:pPr>
        <w:pStyle w:val="ListBullet"/>
      </w:pPr>
      <w:r>
        <w:t>Monthly executive dashboards for sponsors, executives and senior stakeholders.</w:t>
      </w:r>
    </w:p>
    <w:p>
      <w:pPr>
        <w:pStyle w:val="ListBullet"/>
      </w:pPr>
      <w:r>
        <w:t>RAID log management to track risks, assumptions, issues and dependencies.</w:t>
      </w:r>
    </w:p>
    <w:p>
      <w:pPr>
        <w:pStyle w:val="ListBullet"/>
      </w:pPr>
      <w:r>
        <w:t>Change control process for scope, budget, timeline and solution impacts.</w:t>
      </w:r>
    </w:p>
    <w:p>
      <w:pPr>
        <w:pStyle w:val="ListBullet"/>
      </w:pPr>
      <w:r>
        <w:t>Quality assurance checkpoints at planning, design, build, test, deploy and close-out phases.</w:t>
      </w:r>
    </w:p>
    <w:p>
      <w:pPr>
        <w:pStyle w:val="ListBullet"/>
      </w:pPr>
      <w:r>
        <w:t>Benefits realization tracking to confirm business value and operational outcomes.</w:t>
      </w:r>
    </w:p>
    <w:p>
      <w:r>
        <w:br w:type="page"/>
      </w:r>
    </w:p>
    <w:p>
      <w:pPr>
        <w:pStyle w:val="Heading2"/>
      </w:pPr>
      <w:r>
        <w:rPr>
          <w:color w:val="203864"/>
        </w:rPr>
        <w:t>Delivery Frameworks Used</w:t>
      </w:r>
    </w:p>
    <w:tbl>
      <w:tblPr>
        <w:tblStyle w:val="TableGrid"/>
        <w:tblW w:type="auto" w:w="0"/>
        <w:jc w:val="center"/>
        <w:tblLook w:firstColumn="1" w:firstRow="1" w:lastColumn="0" w:lastRow="0" w:noHBand="0" w:noVBand="1" w:val="04A0"/>
      </w:tblPr>
      <w:tblGrid>
        <w:gridCol w:w="5184"/>
        <w:gridCol w:w="5184"/>
      </w:tblGrid>
      <w:tr>
        <w:tc>
          <w:tcPr>
            <w:tcW w:type="dxa" w:w="2088"/>
            <w:vAlign w:val="center"/>
            <w:shd w:fill="1F4E79"/>
          </w:tcPr>
          <w:p>
            <w:r/>
            <w:r>
              <w:rPr>
                <w:b/>
                <w:color w:val="FFFFFF"/>
                <w:sz w:val="18"/>
              </w:rPr>
              <w:t>Framework</w:t>
            </w:r>
          </w:p>
        </w:tc>
        <w:tc>
          <w:tcPr>
            <w:tcW w:type="dxa" w:w="7920"/>
            <w:vAlign w:val="center"/>
            <w:shd w:fill="1F4E79"/>
          </w:tcPr>
          <w:p>
            <w:r/>
            <w:r>
              <w:rPr>
                <w:b/>
                <w:color w:val="FFFFFF"/>
                <w:sz w:val="18"/>
              </w:rPr>
              <w:t>How PMP-IT Applies It</w:t>
            </w:r>
          </w:p>
        </w:tc>
      </w:tr>
      <w:tr>
        <w:tc>
          <w:tcPr>
            <w:tcW w:type="dxa" w:w="2088"/>
            <w:vAlign w:val="center"/>
            <w:shd w:fill="F7FBFF"/>
          </w:tcPr>
          <w:p>
            <w:r/>
            <w:r>
              <w:rPr>
                <w:b w:val="0"/>
                <w:sz w:val="18"/>
              </w:rPr>
              <w:t>PMBOK</w:t>
            </w:r>
          </w:p>
        </w:tc>
        <w:tc>
          <w:tcPr>
            <w:tcW w:type="dxa" w:w="7920"/>
            <w:vAlign w:val="center"/>
            <w:shd w:fill="F7FBFF"/>
          </w:tcPr>
          <w:p>
            <w:r/>
            <w:r>
              <w:rPr>
                <w:b w:val="0"/>
                <w:sz w:val="18"/>
              </w:rPr>
              <w:t>Project planning, scope, schedule, cost, risk, quality, resources and stakeholder management.</w:t>
            </w:r>
          </w:p>
        </w:tc>
      </w:tr>
      <w:tr>
        <w:tc>
          <w:tcPr>
            <w:tcW w:type="dxa" w:w="2088"/>
            <w:vAlign w:val="center"/>
          </w:tcPr>
          <w:p>
            <w:r/>
            <w:r>
              <w:rPr>
                <w:b w:val="0"/>
                <w:sz w:val="18"/>
              </w:rPr>
              <w:t>Agile / Scrum</w:t>
            </w:r>
          </w:p>
        </w:tc>
        <w:tc>
          <w:tcPr>
            <w:tcW w:type="dxa" w:w="7920"/>
            <w:vAlign w:val="center"/>
          </w:tcPr>
          <w:p>
            <w:r/>
            <w:r>
              <w:rPr>
                <w:b w:val="0"/>
                <w:sz w:val="18"/>
              </w:rPr>
              <w:t>Sprint planning, backlog management, daily standups, retrospectives and incremental delivery.</w:t>
            </w:r>
          </w:p>
        </w:tc>
      </w:tr>
      <w:tr>
        <w:tc>
          <w:tcPr>
            <w:tcW w:type="dxa" w:w="2088"/>
            <w:vAlign w:val="center"/>
            <w:shd w:fill="F7FBFF"/>
          </w:tcPr>
          <w:p>
            <w:r/>
            <w:r>
              <w:rPr>
                <w:b w:val="0"/>
                <w:sz w:val="18"/>
              </w:rPr>
              <w:t>Kanban</w:t>
            </w:r>
          </w:p>
        </w:tc>
        <w:tc>
          <w:tcPr>
            <w:tcW w:type="dxa" w:w="7920"/>
            <w:vAlign w:val="center"/>
            <w:shd w:fill="F7FBFF"/>
          </w:tcPr>
          <w:p>
            <w:r/>
            <w:r>
              <w:rPr>
                <w:b w:val="0"/>
                <w:sz w:val="18"/>
              </w:rPr>
              <w:t>Work-in-progress visualization, flow management and operational delivery support.</w:t>
            </w:r>
          </w:p>
        </w:tc>
      </w:tr>
      <w:tr>
        <w:tc>
          <w:tcPr>
            <w:tcW w:type="dxa" w:w="2088"/>
            <w:vAlign w:val="center"/>
          </w:tcPr>
          <w:p>
            <w:r/>
            <w:r>
              <w:rPr>
                <w:b w:val="0"/>
                <w:sz w:val="18"/>
              </w:rPr>
              <w:t>Hybrid Delivery</w:t>
            </w:r>
          </w:p>
        </w:tc>
        <w:tc>
          <w:tcPr>
            <w:tcW w:type="dxa" w:w="7920"/>
            <w:vAlign w:val="center"/>
          </w:tcPr>
          <w:p>
            <w:r/>
            <w:r>
              <w:rPr>
                <w:b w:val="0"/>
                <w:sz w:val="18"/>
              </w:rPr>
              <w:t>Combines governance discipline with Agile execution for public-sector environments.</w:t>
            </w:r>
          </w:p>
        </w:tc>
      </w:tr>
      <w:tr>
        <w:tc>
          <w:tcPr>
            <w:tcW w:type="dxa" w:w="2088"/>
            <w:vAlign w:val="center"/>
            <w:shd w:fill="F7FBFF"/>
          </w:tcPr>
          <w:p>
            <w:r/>
            <w:r>
              <w:rPr>
                <w:b w:val="0"/>
                <w:sz w:val="18"/>
              </w:rPr>
              <w:t>TOGAF</w:t>
            </w:r>
          </w:p>
        </w:tc>
        <w:tc>
          <w:tcPr>
            <w:tcW w:type="dxa" w:w="7920"/>
            <w:vAlign w:val="center"/>
            <w:shd w:fill="F7FBFF"/>
          </w:tcPr>
          <w:p>
            <w:r/>
            <w:r>
              <w:rPr>
                <w:b w:val="0"/>
                <w:sz w:val="18"/>
              </w:rPr>
              <w:t>Enterprise architecture governance, roadmaps, architecture review and solution alignment.</w:t>
            </w:r>
          </w:p>
        </w:tc>
      </w:tr>
      <w:tr>
        <w:tc>
          <w:tcPr>
            <w:tcW w:type="dxa" w:w="2088"/>
            <w:vAlign w:val="center"/>
          </w:tcPr>
          <w:p>
            <w:r/>
            <w:r>
              <w:rPr>
                <w:b w:val="0"/>
                <w:sz w:val="18"/>
              </w:rPr>
              <w:t>ITIL</w:t>
            </w:r>
          </w:p>
        </w:tc>
        <w:tc>
          <w:tcPr>
            <w:tcW w:type="dxa" w:w="7920"/>
            <w:vAlign w:val="center"/>
          </w:tcPr>
          <w:p>
            <w:r/>
            <w:r>
              <w:rPr>
                <w:b w:val="0"/>
                <w:sz w:val="18"/>
              </w:rPr>
              <w:t>Service transition, change management, incident, problem, release and operational readiness.</w:t>
            </w:r>
          </w:p>
        </w:tc>
      </w:tr>
      <w:tr>
        <w:tc>
          <w:tcPr>
            <w:tcW w:type="dxa" w:w="2088"/>
            <w:vAlign w:val="center"/>
            <w:shd w:fill="F7FBFF"/>
          </w:tcPr>
          <w:p>
            <w:r/>
            <w:r>
              <w:rPr>
                <w:b w:val="0"/>
                <w:sz w:val="18"/>
              </w:rPr>
              <w:t>DevOps</w:t>
            </w:r>
          </w:p>
        </w:tc>
        <w:tc>
          <w:tcPr>
            <w:tcW w:type="dxa" w:w="7920"/>
            <w:vAlign w:val="center"/>
            <w:shd w:fill="F7FBFF"/>
          </w:tcPr>
          <w:p>
            <w:r/>
            <w:r>
              <w:rPr>
                <w:b w:val="0"/>
                <w:sz w:val="18"/>
              </w:rPr>
              <w:t>Release management, CI/CD oversight, Azure DevOps dashboards and integrated delivery controls.</w:t>
            </w:r>
          </w:p>
        </w:tc>
      </w:tr>
      <w:tr>
        <w:tc>
          <w:tcPr>
            <w:tcW w:type="dxa" w:w="2088"/>
            <w:vAlign w:val="center"/>
          </w:tcPr>
          <w:p>
            <w:r/>
            <w:r>
              <w:rPr>
                <w:b w:val="0"/>
                <w:sz w:val="18"/>
              </w:rPr>
              <w:t>Lean / Continuous Improvement</w:t>
            </w:r>
          </w:p>
        </w:tc>
        <w:tc>
          <w:tcPr>
            <w:tcW w:type="dxa" w:w="7920"/>
            <w:vAlign w:val="center"/>
          </w:tcPr>
          <w:p>
            <w:r/>
            <w:r>
              <w:rPr>
                <w:b w:val="0"/>
                <w:sz w:val="18"/>
              </w:rPr>
              <w:t>Process improvement, waste reduction, operational efficiency and value delivery.</w:t>
            </w:r>
          </w:p>
        </w:tc>
      </w:tr>
    </w:tbl>
    <w:p/>
    <w:p>
      <w:r>
        <w:br w:type="page"/>
      </w:r>
    </w:p>
    <w:p>
      <w:pPr>
        <w:pStyle w:val="Heading2"/>
      </w:pPr>
      <w:r>
        <w:rPr>
          <w:color w:val="203864"/>
        </w:rPr>
        <w:t>Engagement Models</w:t>
      </w:r>
    </w:p>
    <w:tbl>
      <w:tblPr>
        <w:tblStyle w:val="TableGrid"/>
        <w:tblW w:type="auto" w:w="0"/>
        <w:jc w:val="center"/>
        <w:tblLook w:firstColumn="1" w:firstRow="1" w:lastColumn="0" w:lastRow="0" w:noHBand="0" w:noVBand="1" w:val="04A0"/>
      </w:tblPr>
      <w:tblGrid>
        <w:gridCol w:w="3456"/>
        <w:gridCol w:w="3456"/>
        <w:gridCol w:w="3456"/>
      </w:tblGrid>
      <w:tr>
        <w:tc>
          <w:tcPr>
            <w:tcW w:type="dxa" w:w="2232"/>
            <w:vAlign w:val="center"/>
            <w:shd w:fill="1F4E79"/>
          </w:tcPr>
          <w:p>
            <w:r/>
            <w:r>
              <w:rPr>
                <w:b/>
                <w:color w:val="FFFFFF"/>
                <w:sz w:val="18"/>
              </w:rPr>
              <w:t>Engagement Model</w:t>
            </w:r>
          </w:p>
        </w:tc>
        <w:tc>
          <w:tcPr>
            <w:tcW w:type="dxa" w:w="5472"/>
            <w:vAlign w:val="center"/>
            <w:shd w:fill="1F4E79"/>
          </w:tcPr>
          <w:p>
            <w:r/>
            <w:r>
              <w:rPr>
                <w:b/>
                <w:color w:val="FFFFFF"/>
                <w:sz w:val="18"/>
              </w:rPr>
              <w:t>Description</w:t>
            </w:r>
          </w:p>
        </w:tc>
        <w:tc>
          <w:tcPr>
            <w:tcW w:type="dxa" w:w="1440"/>
            <w:vAlign w:val="center"/>
            <w:shd w:fill="1F4E79"/>
          </w:tcPr>
          <w:p>
            <w:r/>
            <w:r>
              <w:rPr>
                <w:b/>
                <w:color w:val="FFFFFF"/>
                <w:sz w:val="18"/>
              </w:rPr>
              <w:t>Typical Duration</w:t>
            </w:r>
          </w:p>
        </w:tc>
      </w:tr>
      <w:tr>
        <w:tc>
          <w:tcPr>
            <w:tcW w:type="dxa" w:w="2232"/>
            <w:vAlign w:val="center"/>
            <w:shd w:fill="F7FBFF"/>
          </w:tcPr>
          <w:p>
            <w:r/>
            <w:r>
              <w:rPr>
                <w:b w:val="0"/>
                <w:sz w:val="18"/>
              </w:rPr>
              <w:t>Executive Advisory</w:t>
            </w:r>
          </w:p>
        </w:tc>
        <w:tc>
          <w:tcPr>
            <w:tcW w:type="dxa" w:w="5472"/>
            <w:vAlign w:val="center"/>
            <w:shd w:fill="F7FBFF"/>
          </w:tcPr>
          <w:p>
            <w:r/>
            <w:r>
              <w:rPr>
                <w:b w:val="0"/>
                <w:sz w:val="18"/>
              </w:rPr>
              <w:t>Strategic guidance for CIOs, DGs, sponsors and senior management.</w:t>
            </w:r>
          </w:p>
        </w:tc>
        <w:tc>
          <w:tcPr>
            <w:tcW w:type="dxa" w:w="1440"/>
            <w:vAlign w:val="center"/>
            <w:shd w:fill="F7FBFF"/>
          </w:tcPr>
          <w:p>
            <w:r/>
            <w:r>
              <w:rPr>
                <w:b w:val="0"/>
                <w:sz w:val="18"/>
              </w:rPr>
              <w:t>2-12 weeks</w:t>
            </w:r>
          </w:p>
        </w:tc>
      </w:tr>
      <w:tr>
        <w:tc>
          <w:tcPr>
            <w:tcW w:type="dxa" w:w="2232"/>
            <w:vAlign w:val="center"/>
          </w:tcPr>
          <w:p>
            <w:r/>
            <w:r>
              <w:rPr>
                <w:b w:val="0"/>
                <w:sz w:val="18"/>
              </w:rPr>
              <w:t>Fractional Project Director</w:t>
            </w:r>
          </w:p>
        </w:tc>
        <w:tc>
          <w:tcPr>
            <w:tcW w:type="dxa" w:w="5472"/>
            <w:vAlign w:val="center"/>
          </w:tcPr>
          <w:p>
            <w:r/>
            <w:r>
              <w:rPr>
                <w:b w:val="0"/>
                <w:sz w:val="18"/>
              </w:rPr>
              <w:t>Part-time senior delivery leadership for complex initiatives.</w:t>
            </w:r>
          </w:p>
        </w:tc>
        <w:tc>
          <w:tcPr>
            <w:tcW w:type="dxa" w:w="1440"/>
            <w:vAlign w:val="center"/>
          </w:tcPr>
          <w:p>
            <w:r/>
            <w:r>
              <w:rPr>
                <w:b w:val="0"/>
                <w:sz w:val="18"/>
              </w:rPr>
              <w:t>3-18 months</w:t>
            </w:r>
          </w:p>
        </w:tc>
      </w:tr>
      <w:tr>
        <w:tc>
          <w:tcPr>
            <w:tcW w:type="dxa" w:w="2232"/>
            <w:vAlign w:val="center"/>
            <w:shd w:fill="F7FBFF"/>
          </w:tcPr>
          <w:p>
            <w:r/>
            <w:r>
              <w:rPr>
                <w:b w:val="0"/>
                <w:sz w:val="18"/>
              </w:rPr>
              <w:t>Senior Project Manager</w:t>
            </w:r>
          </w:p>
        </w:tc>
        <w:tc>
          <w:tcPr>
            <w:tcW w:type="dxa" w:w="5472"/>
            <w:vAlign w:val="center"/>
            <w:shd w:fill="F7FBFF"/>
          </w:tcPr>
          <w:p>
            <w:r/>
            <w:r>
              <w:rPr>
                <w:b w:val="0"/>
                <w:sz w:val="18"/>
              </w:rPr>
              <w:t>Full lifecycle project leadership and execution.</w:t>
            </w:r>
          </w:p>
        </w:tc>
        <w:tc>
          <w:tcPr>
            <w:tcW w:type="dxa" w:w="1440"/>
            <w:vAlign w:val="center"/>
            <w:shd w:fill="F7FBFF"/>
          </w:tcPr>
          <w:p>
            <w:r/>
            <w:r>
              <w:rPr>
                <w:b w:val="0"/>
                <w:sz w:val="18"/>
              </w:rPr>
              <w:t>6-24 months</w:t>
            </w:r>
          </w:p>
        </w:tc>
      </w:tr>
      <w:tr>
        <w:tc>
          <w:tcPr>
            <w:tcW w:type="dxa" w:w="2232"/>
            <w:vAlign w:val="center"/>
          </w:tcPr>
          <w:p>
            <w:r/>
            <w:r>
              <w:rPr>
                <w:b w:val="0"/>
                <w:sz w:val="18"/>
              </w:rPr>
              <w:t>Program Manager</w:t>
            </w:r>
          </w:p>
        </w:tc>
        <w:tc>
          <w:tcPr>
            <w:tcW w:type="dxa" w:w="5472"/>
            <w:vAlign w:val="center"/>
          </w:tcPr>
          <w:p>
            <w:r/>
            <w:r>
              <w:rPr>
                <w:b w:val="0"/>
                <w:sz w:val="18"/>
              </w:rPr>
              <w:t>Management of multiple related projects and dependencies.</w:t>
            </w:r>
          </w:p>
        </w:tc>
        <w:tc>
          <w:tcPr>
            <w:tcW w:type="dxa" w:w="1440"/>
            <w:vAlign w:val="center"/>
          </w:tcPr>
          <w:p>
            <w:r/>
            <w:r>
              <w:rPr>
                <w:b w:val="0"/>
                <w:sz w:val="18"/>
              </w:rPr>
              <w:t>12-36 months</w:t>
            </w:r>
          </w:p>
        </w:tc>
      </w:tr>
      <w:tr>
        <w:tc>
          <w:tcPr>
            <w:tcW w:type="dxa" w:w="2232"/>
            <w:vAlign w:val="center"/>
            <w:shd w:fill="F7FBFF"/>
          </w:tcPr>
          <w:p>
            <w:r/>
            <w:r>
              <w:rPr>
                <w:b w:val="0"/>
                <w:sz w:val="18"/>
              </w:rPr>
              <w:t>PMO Advisor</w:t>
            </w:r>
          </w:p>
        </w:tc>
        <w:tc>
          <w:tcPr>
            <w:tcW w:type="dxa" w:w="5472"/>
            <w:vAlign w:val="center"/>
            <w:shd w:fill="F7FBFF"/>
          </w:tcPr>
          <w:p>
            <w:r/>
            <w:r>
              <w:rPr>
                <w:b w:val="0"/>
                <w:sz w:val="18"/>
              </w:rPr>
              <w:t>Governance, dashboards, frameworks, project audits and maturity improvement.</w:t>
            </w:r>
          </w:p>
        </w:tc>
        <w:tc>
          <w:tcPr>
            <w:tcW w:type="dxa" w:w="1440"/>
            <w:vAlign w:val="center"/>
            <w:shd w:fill="F7FBFF"/>
          </w:tcPr>
          <w:p>
            <w:r/>
            <w:r>
              <w:rPr>
                <w:b w:val="0"/>
                <w:sz w:val="18"/>
              </w:rPr>
              <w:t>3-12 months</w:t>
            </w:r>
          </w:p>
        </w:tc>
      </w:tr>
      <w:tr>
        <w:tc>
          <w:tcPr>
            <w:tcW w:type="dxa" w:w="2232"/>
            <w:vAlign w:val="center"/>
          </w:tcPr>
          <w:p>
            <w:r/>
            <w:r>
              <w:rPr>
                <w:b w:val="0"/>
                <w:sz w:val="18"/>
              </w:rPr>
              <w:t>Business Analyst Lead</w:t>
            </w:r>
          </w:p>
        </w:tc>
        <w:tc>
          <w:tcPr>
            <w:tcW w:type="dxa" w:w="5472"/>
            <w:vAlign w:val="center"/>
          </w:tcPr>
          <w:p>
            <w:r/>
            <w:r>
              <w:rPr>
                <w:b w:val="0"/>
                <w:sz w:val="18"/>
              </w:rPr>
              <w:t>Requirements, workshops, documentation, process and solution analysis.</w:t>
            </w:r>
          </w:p>
        </w:tc>
        <w:tc>
          <w:tcPr>
            <w:tcW w:type="dxa" w:w="1440"/>
            <w:vAlign w:val="center"/>
          </w:tcPr>
          <w:p>
            <w:r/>
            <w:r>
              <w:rPr>
                <w:b w:val="0"/>
                <w:sz w:val="18"/>
              </w:rPr>
              <w:t>3-18 months</w:t>
            </w:r>
          </w:p>
        </w:tc>
      </w:tr>
      <w:tr>
        <w:tc>
          <w:tcPr>
            <w:tcW w:type="dxa" w:w="2232"/>
            <w:vAlign w:val="center"/>
            <w:shd w:fill="F7FBFF"/>
          </w:tcPr>
          <w:p>
            <w:r/>
            <w:r>
              <w:rPr>
                <w:b w:val="0"/>
                <w:sz w:val="18"/>
              </w:rPr>
              <w:t>Cloud / Cybersecurity Delivery Lead</w:t>
            </w:r>
          </w:p>
        </w:tc>
        <w:tc>
          <w:tcPr>
            <w:tcW w:type="dxa" w:w="5472"/>
            <w:vAlign w:val="center"/>
            <w:shd w:fill="F7FBFF"/>
          </w:tcPr>
          <w:p>
            <w:r/>
            <w:r>
              <w:rPr>
                <w:b w:val="0"/>
                <w:sz w:val="18"/>
              </w:rPr>
              <w:t>Project leadership for Azure, AWS, security governance and modernization initiatives.</w:t>
            </w:r>
          </w:p>
        </w:tc>
        <w:tc>
          <w:tcPr>
            <w:tcW w:type="dxa" w:w="1440"/>
            <w:vAlign w:val="center"/>
            <w:shd w:fill="F7FBFF"/>
          </w:tcPr>
          <w:p>
            <w:r/>
            <w:r>
              <w:rPr>
                <w:b w:val="0"/>
                <w:sz w:val="18"/>
              </w:rPr>
              <w:t>3-24 months</w:t>
            </w:r>
          </w:p>
        </w:tc>
      </w:tr>
    </w:tbl>
    <w:p/>
    <w:p>
      <w:pPr>
        <w:pStyle w:val="Heading2"/>
      </w:pPr>
      <w:r>
        <w:rPr>
          <w:color w:val="203864"/>
        </w:rPr>
        <w:t>Client Benefits</w:t>
      </w:r>
    </w:p>
    <w:p>
      <w:pPr>
        <w:pStyle w:val="ListBullet"/>
      </w:pPr>
      <w:r>
        <w:t>Improved project governance and executive visibility.</w:t>
      </w:r>
    </w:p>
    <w:p>
      <w:pPr>
        <w:pStyle w:val="ListBullet"/>
      </w:pPr>
      <w:r>
        <w:t>Reduced delivery risk through structured PMO controls and proactive risk management.</w:t>
      </w:r>
    </w:p>
    <w:p>
      <w:pPr>
        <w:pStyle w:val="ListBullet"/>
      </w:pPr>
      <w:r>
        <w:t>Faster alignment between business stakeholders, architecture, security and delivery teams.</w:t>
      </w:r>
    </w:p>
    <w:p>
      <w:pPr>
        <w:pStyle w:val="ListBullet"/>
      </w:pPr>
      <w:r>
        <w:t>Improved quality of requirements, documentation, planning and executive reporting.</w:t>
      </w:r>
    </w:p>
    <w:p>
      <w:pPr>
        <w:pStyle w:val="ListBullet"/>
      </w:pPr>
      <w:r>
        <w:t>Better adoption of cloud, cybersecurity, enterprise applications and digital transformation initiatives.</w:t>
      </w:r>
    </w:p>
    <w:p>
      <w:pPr>
        <w:pStyle w:val="ListBullet"/>
      </w:pPr>
      <w:r>
        <w:t>Stronger accountability, communication, stakeholder engagement and benefits realization.</w:t>
      </w:r>
    </w:p>
    <w:p>
      <w:pPr>
        <w:pStyle w:val="ListBullet"/>
      </w:pPr>
      <w:r>
        <w:t>Reusable frameworks, templates, dashboards and processes for future initiatives.</w:t>
      </w:r>
    </w:p>
    <w:p>
      <w:pPr>
        <w:pStyle w:val="Heading2"/>
      </w:pPr>
      <w:r>
        <w:rPr>
          <w:color w:val="203864"/>
        </w:rPr>
        <w:t>Representative Case Study Snapshot</w:t>
      </w:r>
    </w:p>
    <w:tbl>
      <w:tblPr>
        <w:tblStyle w:val="TableGrid"/>
        <w:tblW w:type="auto" w:w="0"/>
        <w:jc w:val="center"/>
        <w:tblLook w:firstColumn="1" w:firstRow="1" w:lastColumn="0" w:lastRow="0" w:noHBand="0" w:noVBand="1" w:val="04A0"/>
      </w:tblPr>
      <w:tblGrid>
        <w:gridCol w:w="3456"/>
        <w:gridCol w:w="3456"/>
        <w:gridCol w:w="3456"/>
      </w:tblGrid>
      <w:tr>
        <w:tc>
          <w:tcPr>
            <w:tcW w:type="dxa" w:w="2592"/>
            <w:vAlign w:val="center"/>
            <w:shd w:fill="1F4E79"/>
          </w:tcPr>
          <w:p>
            <w:r/>
            <w:r>
              <w:rPr>
                <w:b/>
                <w:color w:val="FFFFFF"/>
                <w:sz w:val="18"/>
              </w:rPr>
              <w:t>Project</w:t>
            </w:r>
          </w:p>
        </w:tc>
        <w:tc>
          <w:tcPr>
            <w:tcW w:type="dxa" w:w="4320"/>
            <w:vAlign w:val="center"/>
            <w:shd w:fill="1F4E79"/>
          </w:tcPr>
          <w:p>
            <w:r/>
            <w:r>
              <w:rPr>
                <w:b/>
                <w:color w:val="FFFFFF"/>
                <w:sz w:val="18"/>
              </w:rPr>
              <w:t>Scope</w:t>
            </w:r>
          </w:p>
        </w:tc>
        <w:tc>
          <w:tcPr>
            <w:tcW w:type="dxa" w:w="2880"/>
            <w:vAlign w:val="center"/>
            <w:shd w:fill="1F4E79"/>
          </w:tcPr>
          <w:p>
            <w:r/>
            <w:r>
              <w:rPr>
                <w:b/>
                <w:color w:val="FFFFFF"/>
                <w:sz w:val="18"/>
              </w:rPr>
              <w:t>Business Outcome</w:t>
            </w:r>
          </w:p>
        </w:tc>
      </w:tr>
      <w:tr>
        <w:tc>
          <w:tcPr>
            <w:tcW w:type="dxa" w:w="2592"/>
            <w:vAlign w:val="center"/>
            <w:shd w:fill="F7FBFF"/>
          </w:tcPr>
          <w:p>
            <w:r/>
            <w:r>
              <w:rPr>
                <w:b w:val="0"/>
                <w:sz w:val="18"/>
              </w:rPr>
              <w:t>Global Affairs Canada - Sphere Migration</w:t>
            </w:r>
          </w:p>
        </w:tc>
        <w:tc>
          <w:tcPr>
            <w:tcW w:type="dxa" w:w="4320"/>
            <w:vAlign w:val="center"/>
            <w:shd w:fill="F7FBFF"/>
          </w:tcPr>
          <w:p>
            <w:r/>
            <w:r>
              <w:rPr>
                <w:b w:val="0"/>
                <w:sz w:val="18"/>
              </w:rPr>
              <w:t>SharePoint Online migration, information architecture, permissions and stakeholder engagement.</w:t>
            </w:r>
          </w:p>
        </w:tc>
        <w:tc>
          <w:tcPr>
            <w:tcW w:type="dxa" w:w="2880"/>
            <w:vAlign w:val="center"/>
            <w:shd w:fill="F7FBFF"/>
          </w:tcPr>
          <w:p>
            <w:r/>
            <w:r>
              <w:rPr>
                <w:b w:val="0"/>
                <w:sz w:val="18"/>
              </w:rPr>
              <w:t>Improved collaboration governance and migration readiness.</w:t>
            </w:r>
          </w:p>
        </w:tc>
      </w:tr>
      <w:tr>
        <w:tc>
          <w:tcPr>
            <w:tcW w:type="dxa" w:w="2592"/>
            <w:vAlign w:val="center"/>
          </w:tcPr>
          <w:p>
            <w:r/>
            <w:r>
              <w:rPr>
                <w:b w:val="0"/>
                <w:sz w:val="18"/>
              </w:rPr>
              <w:t>ACOA - CAPRI / NexGen</w:t>
            </w:r>
          </w:p>
        </w:tc>
        <w:tc>
          <w:tcPr>
            <w:tcW w:type="dxa" w:w="4320"/>
            <w:vAlign w:val="center"/>
          </w:tcPr>
          <w:p>
            <w:r/>
            <w:r>
              <w:rPr>
                <w:b w:val="0"/>
                <w:sz w:val="18"/>
              </w:rPr>
              <w:t>Agile CRM and portal delivery using Dynamics 365, Azure, SharePoint and Azure DevOps.</w:t>
            </w:r>
          </w:p>
        </w:tc>
        <w:tc>
          <w:tcPr>
            <w:tcW w:type="dxa" w:w="2880"/>
            <w:vAlign w:val="center"/>
          </w:tcPr>
          <w:p>
            <w:r/>
            <w:r>
              <w:rPr>
                <w:b w:val="0"/>
                <w:sz w:val="18"/>
              </w:rPr>
              <w:t>Improved digital delivery and Agile transparency.</w:t>
            </w:r>
          </w:p>
        </w:tc>
      </w:tr>
      <w:tr>
        <w:tc>
          <w:tcPr>
            <w:tcW w:type="dxa" w:w="2592"/>
            <w:vAlign w:val="center"/>
            <w:shd w:fill="F7FBFF"/>
          </w:tcPr>
          <w:p>
            <w:r/>
            <w:r>
              <w:rPr>
                <w:b w:val="0"/>
                <w:sz w:val="18"/>
              </w:rPr>
              <w:t>ECCC - Regulatory Systems</w:t>
            </w:r>
          </w:p>
        </w:tc>
        <w:tc>
          <w:tcPr>
            <w:tcW w:type="dxa" w:w="4320"/>
            <w:vAlign w:val="center"/>
            <w:shd w:fill="F7FBFF"/>
          </w:tcPr>
          <w:p>
            <w:r/>
            <w:r>
              <w:rPr>
                <w:b w:val="0"/>
                <w:sz w:val="18"/>
              </w:rPr>
              <w:t>Azure/AWS/Power Platform initiatives for environmental regulation systems.</w:t>
            </w:r>
          </w:p>
        </w:tc>
        <w:tc>
          <w:tcPr>
            <w:tcW w:type="dxa" w:w="2880"/>
            <w:vAlign w:val="center"/>
            <w:shd w:fill="F7FBFF"/>
          </w:tcPr>
          <w:p>
            <w:r/>
            <w:r>
              <w:rPr>
                <w:b w:val="0"/>
                <w:sz w:val="18"/>
              </w:rPr>
              <w:t>Strengthened compliance, reporting and cloud modernization.</w:t>
            </w:r>
          </w:p>
        </w:tc>
      </w:tr>
      <w:tr>
        <w:tc>
          <w:tcPr>
            <w:tcW w:type="dxa" w:w="2592"/>
            <w:vAlign w:val="center"/>
          </w:tcPr>
          <w:p>
            <w:r/>
            <w:r>
              <w:rPr>
                <w:b w:val="0"/>
                <w:sz w:val="18"/>
              </w:rPr>
              <w:t>SSC - Data Centres and Networks</w:t>
            </w:r>
          </w:p>
        </w:tc>
        <w:tc>
          <w:tcPr>
            <w:tcW w:type="dxa" w:w="4320"/>
            <w:vAlign w:val="center"/>
          </w:tcPr>
          <w:p>
            <w:r/>
            <w:r>
              <w:rPr>
                <w:b w:val="0"/>
                <w:sz w:val="18"/>
              </w:rPr>
              <w:t>Data centre modernization, DDI, IPv6, NTP and network capacity initiatives.</w:t>
            </w:r>
          </w:p>
        </w:tc>
        <w:tc>
          <w:tcPr>
            <w:tcW w:type="dxa" w:w="2880"/>
            <w:vAlign w:val="center"/>
          </w:tcPr>
          <w:p>
            <w:r/>
            <w:r>
              <w:rPr>
                <w:b w:val="0"/>
                <w:sz w:val="18"/>
              </w:rPr>
              <w:t>Improved enterprise infrastructure governance and service reliability.</w:t>
            </w:r>
          </w:p>
        </w:tc>
      </w:tr>
      <w:tr>
        <w:tc>
          <w:tcPr>
            <w:tcW w:type="dxa" w:w="2592"/>
            <w:vAlign w:val="center"/>
            <w:shd w:fill="F7FBFF"/>
          </w:tcPr>
          <w:p>
            <w:r/>
            <w:r>
              <w:rPr>
                <w:b w:val="0"/>
                <w:sz w:val="18"/>
              </w:rPr>
              <w:t>Health Canada - Critical Systems</w:t>
            </w:r>
          </w:p>
        </w:tc>
        <w:tc>
          <w:tcPr>
            <w:tcW w:type="dxa" w:w="4320"/>
            <w:vAlign w:val="center"/>
            <w:shd w:fill="F7FBFF"/>
          </w:tcPr>
          <w:p>
            <w:r/>
            <w:r>
              <w:rPr>
                <w:b w:val="0"/>
                <w:sz w:val="18"/>
              </w:rPr>
              <w:t>Application modernization, security, ITSM and mission-critical systems support.</w:t>
            </w:r>
          </w:p>
        </w:tc>
        <w:tc>
          <w:tcPr>
            <w:tcW w:type="dxa" w:w="2880"/>
            <w:vAlign w:val="center"/>
            <w:shd w:fill="F7FBFF"/>
          </w:tcPr>
          <w:p>
            <w:r/>
            <w:r>
              <w:rPr>
                <w:b w:val="0"/>
                <w:sz w:val="18"/>
              </w:rPr>
              <w:t>Improved operational stability, security and release governance.</w:t>
            </w:r>
          </w:p>
        </w:tc>
      </w:tr>
    </w:tbl>
    <w:p/>
    <w:sectPr w:rsidR="00FC693F" w:rsidRPr="0006063C" w:rsidSect="00034616">
      <w:footerReference w:type="default" r:id="rId9"/>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PMP-IT Consulting | Technology Portfolio, Capability Matrices &amp; Delivery Methodology | www.pmp-it.ca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203864"/>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4E79"/>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203864"/>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MOUFID JARADA</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PMP-IT Technology Portfolio Capability Matrices Delivery Methodology</dc:title>
  <dc:subject>PMP-IT Technology Portfolio Capability Matrices Delivery Methodology</dc:subject>
  <dc:creator>python-docx</dc:creator>
  <cp:keywords/>
  <dc:description>PMP-IT Technology Portfolio Capability Matrices Delivery Methodology</dc:description>
  <cp:lastModifiedBy/>
  <cp:revision>1</cp:revision>
  <dcterms:created xsi:type="dcterms:W3CDTF">2013-12-23T23:15:00Z</dcterms:created>
  <dcterms:modified xsi:type="dcterms:W3CDTF">2013-12-23T23:15:00Z</dcterms:modified>
  <cp:category/>
</cp:coreProperties>
</file>